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color w:val="000000"/>
          <w:sz w:val="36"/>
        </w:rPr>
        <w:t>MITRA: Evidence-Aware Multilingual Conversational AI for Institutional Information Assistance</w:t>
      </w:r>
    </w:p>
    <w:p>
      <w:pPr>
        <w:spacing w:after="80"/>
        <w:jc w:val="center"/>
      </w:pPr>
      <w:r>
        <w:rPr>
          <w:rFonts w:ascii="Times New Roman" w:hAnsi="Times New Roman"/>
          <w:b/>
          <w:i w:val="0"/>
          <w:color w:val="000000"/>
          <w:sz w:val="21"/>
        </w:rPr>
        <w:t>Shraddha Sunil Ukirade¹, Anzalna Ayaz Tamboli², Sayali Santosh Kakade³, Dnyaneshwari Satyavan Vyavahare⁴, Prof. Shobhana Raichurkar⁵</w:t>
        <w:br/>
      </w:r>
      <w:r>
        <w:rPr>
          <w:rFonts w:ascii="Times New Roman" w:hAnsi="Times New Roman"/>
          <w:b w:val="0"/>
          <w:i/>
          <w:color w:val="000000"/>
          <w:sz w:val="18"/>
        </w:rPr>
        <w:t>¹, ², ³, ⁴Department of Computer Science &amp; Engineering, MIT College of Railway Engineering &amp; Research, Barshi, Maharashtra, India</w:t>
        <w:br/>
        <w:t>⁵Assistant Professor, Department of Computer Science &amp; Engineering, MIT College of Railway Engineering &amp; Research, Barshi, Maharashtra, India</w:t>
        <w:br/>
        <w:t>Affiliated to Punyashlok Ahilyadevi Holkar Solapur University (PAHSU), Solapur, Maharashtra, India</w:t>
      </w:r>
    </w:p>
    <w:p>
      <w:pPr>
        <w:spacing w:after="120"/>
      </w:pPr>
    </w:p>
    <w:p>
      <w:pPr>
        <w:keepNext/>
        <w:spacing w:before="200" w:after="60"/>
      </w:pPr>
      <w:r>
        <w:rPr>
          <w:rFonts w:ascii="Times New Roman" w:hAnsi="Times New Roman"/>
          <w:b/>
          <w:i/>
          <w:color w:val="000000"/>
          <w:sz w:val="20"/>
        </w:rPr>
        <w:t>Abstract</w:t>
      </w:r>
    </w:p>
    <w:p>
      <w:pPr>
        <w:spacing w:before="0" w:after="80" w:line="252" w:lineRule="auto"/>
        <w:jc w:val="both"/>
      </w:pPr>
      <w:r>
        <w:rPr>
          <w:rFonts w:ascii="Times New Roman" w:hAnsi="Times New Roman"/>
          <w:b w:val="0"/>
          <w:i w:val="0"/>
          <w:color w:val="000000"/>
          <w:sz w:val="19"/>
        </w:rPr>
        <w:t>Admissions answers must preserve the academic year, entry route and applicant category attached to each fact, and a misattributed fee can affect a family's financial decisions. This paper presents MITRA, an assistant for MIT College of Railway Engineering &amp; Research, Barshi, supporting English, Marathi and Hindi through maintained records, deterministic rendering of critical fee and intake facts, scope-aware clarification, referral to human assistance, and an optional English-only generation path gated by bounded verification. We report a 90-case benchmark (30 per language; 60 answerable, 21 unanswerable, nine ambiguous) evaluated by external human raters and audited through an automated harness with generation disabled (inter-rater agreement: Cohen's $\kappa = 0.96$). Across milestones, baseline correctness of 60.0% overall (English 85.0%, Marathi 50.0%, Hindi 45.0%; Fisher's exact $p \approx 0.006$) was constrained by a 23.3% Devanagari false-refusal rate driven by query normalization gaps. Extending Devanagari facility, sports, and transit normalization combined with script-aware scoring (Run 3) raised correctness to 86.7% overall (English 85.0%, Marathi 85.0%, Hindi 90.0%), eliminating false refusals (0.0%) and the language disparity (Fisher's exact $p = 1.0$). A controlled ablation on 15 fee cases demonstrates that deterministic rendering achieves 100% attribute fidelity (15/15; 95% CI lower bound ≈ 80%), whereas generative RAG exhibits a 26.7% cross-attribute attribution error rate and accepts 81.8% of corrupted tabular figures under token-overlap verifiers. Large-scale longitudinal deployment and live monitoring remain future work.</w:t>
      </w:r>
    </w:p>
    <w:p>
      <w:pPr>
        <w:spacing w:before="0" w:after="80" w:line="252" w:lineRule="auto"/>
        <w:jc w:val="both"/>
      </w:pPr>
      <w:r>
        <w:rPr>
          <w:rFonts w:ascii="Times New Roman" w:hAnsi="Times New Roman"/>
          <w:b w:val="0"/>
          <w:i w:val="0"/>
          <w:color w:val="000000"/>
          <w:sz w:val="19"/>
        </w:rPr>
      </w:r>
      <w:r>
        <w:rPr>
          <w:rFonts w:ascii="Times New Roman" w:hAnsi="Times New Roman"/>
          <w:b/>
          <w:i w:val="0"/>
          <w:color w:val="000000"/>
          <w:sz w:val="19"/>
        </w:rPr>
        <w:t>Index Terms</w:t>
      </w:r>
      <w:r>
        <w:rPr>
          <w:rFonts w:ascii="Times New Roman" w:hAnsi="Times New Roman"/>
          <w:b w:val="0"/>
          <w:i w:val="0"/>
          <w:color w:val="000000"/>
          <w:sz w:val="19"/>
        </w:rPr>
        <w:t>— University admissions, institutional question answering, multilingual assistance, structured knowledge, factual verification, retrieval evaluation.</w:t>
      </w:r>
    </w:p>
    <w:p>
      <w:pPr>
        <w:keepNext/>
        <w:spacing w:before="280" w:after="80"/>
      </w:pPr>
      <w:r>
        <w:rPr>
          <w:rFonts w:ascii="Times New Roman" w:hAnsi="Times New Roman"/>
          <w:b/>
          <w:i w:val="0"/>
          <w:color w:val="000000"/>
          <w:sz w:val="22"/>
        </w:rPr>
        <w:t>I. INTRODUCTION</w:t>
      </w:r>
    </w:p>
    <w:p>
      <w:pPr>
        <w:spacing w:before="0" w:after="80" w:line="252" w:lineRule="auto"/>
        <w:jc w:val="both"/>
      </w:pPr>
      <w:r>
        <w:rPr>
          <w:rFonts w:ascii="Times New Roman" w:hAnsi="Times New Roman"/>
          <w:b w:val="0"/>
          <w:i w:val="0"/>
          <w:color w:val="000000"/>
          <w:sz w:val="19"/>
        </w:rPr>
        <w:t>Applicants and parents must locate information scattered across fee circulars, programme lists, institutional pages and administrative notices. A short question may omit details that change the correct answer: the same category label can carry different charges for first-year and direct second-year entry, and hostel, deposit and mess figures can mislead when attached to the wrong labels. Source relevance and numerical overlap are therefore necessary but not sufficient for a correctly scoped response. General-purpose language models add a further risk, since they can produce fluent statements that no source supports, and a transposed fee or wrong year can affect a family’s financial decisions.</w:t>
      </w:r>
    </w:p>
    <w:p>
      <w:pPr>
        <w:spacing w:before="0" w:after="80" w:line="252" w:lineRule="auto"/>
        <w:jc w:val="both"/>
      </w:pPr>
      <w:r>
        <w:rPr>
          <w:rFonts w:ascii="Times New Roman" w:hAnsi="Times New Roman"/>
          <w:b w:val="0"/>
          <w:i w:val="0"/>
          <w:color w:val="000000"/>
          <w:sz w:val="19"/>
        </w:rPr>
        <w:t>MITRA serves MIT College of Railway Engineering &amp; Research, Barshi. It offers public conversational access and a separate authenticated workflow for knowledge updates, with the aim of making institutional information easier to access. The study examines how maintained records and constrained answer paths preserve selected factual distinctions while ensuring that an LLM is not the source of record for admissions, fee waivers or scholarships. Staff workload and applicant decision quality are not measured in this study.</w:t>
      </w:r>
    </w:p>
    <w:p>
      <w:pPr>
        <w:keepNext/>
        <w:spacing w:before="280" w:after="80"/>
      </w:pPr>
      <w:r>
        <w:rPr>
          <w:rFonts w:ascii="Times New Roman" w:hAnsi="Times New Roman"/>
          <w:b/>
          <w:i w:val="0"/>
          <w:color w:val="000000"/>
          <w:sz w:val="22"/>
        </w:rPr>
        <w:t>II. RELATED WORK AND RESEARCH POSITION</w:t>
      </w:r>
    </w:p>
    <w:p>
      <w:pPr>
        <w:spacing w:before="0" w:after="80" w:line="252" w:lineRule="auto"/>
        <w:jc w:val="both"/>
      </w:pPr>
      <w:r>
        <w:rPr>
          <w:rFonts w:ascii="Times New Roman" w:hAnsi="Times New Roman"/>
          <w:b w:val="0"/>
          <w:i w:val="0"/>
          <w:color w:val="000000"/>
          <w:sz w:val="19"/>
        </w:rPr>
        <w:t>Retrieval-augmented generation (RAG) combines retrieved knowledge with language generation [1]. MITRA applies evidence-conditioned generation as an optional path rather than the jointly trained architecture of that work. BM25 provides an established lexical ranking framework [2]; the comparison here therefore includes raw and normalized BM25 as a lexical experiment, separate from a full RAG benchmark.</w:t>
      </w:r>
    </w:p>
    <w:p>
      <w:pPr>
        <w:spacing w:before="0" w:after="80" w:line="252" w:lineRule="auto"/>
        <w:jc w:val="both"/>
      </w:pPr>
      <w:r>
        <w:rPr>
          <w:rFonts w:ascii="Times New Roman" w:hAnsi="Times New Roman"/>
          <w:b w:val="0"/>
          <w:i w:val="0"/>
          <w:color w:val="000000"/>
          <w:sz w:val="19"/>
        </w:rPr>
        <w:t>Closely related admissions systems exist. URAG places FAQ answering before document-based generation [3], and an IEEE study combines intent filtering with admissions RAG [4]. Because fact retrieval, topic routing and document maintenance are established practices, MITRA’s contribution lies in documenting how selected fee attributes, record availability, follow-up scope and unsupported questions are handled in one maintained implementation.</w:t>
      </w:r>
    </w:p>
    <w:p>
      <w:pPr>
        <w:spacing w:before="0" w:after="80" w:line="252" w:lineRule="auto"/>
        <w:jc w:val="both"/>
      </w:pPr>
      <w:r>
        <w:rPr>
          <w:rFonts w:ascii="Times New Roman" w:hAnsi="Times New Roman"/>
          <w:b w:val="0"/>
          <w:i w:val="0"/>
          <w:color w:val="000000"/>
          <w:sz w:val="19"/>
        </w:rPr>
        <w:t>MARAUS reports a multi-agent admissions application [5], whereas MITRA uses a single backend; this difference is architectural and implies no difference in accuracy. Academic RAG with conversation history is also established [6]. IndicNLPSuite provides Indian-language resources and benchmarks [7]; MITRA uses its own rules and source-bound translations, so those benchmark scores do not transfer, and quality across its three interface languages requires separate evaluation.</w:t>
      </w:r>
    </w:p>
    <w:p>
      <w:pPr>
        <w:spacing w:before="0" w:after="80" w:line="252" w:lineRule="auto"/>
        <w:jc w:val="both"/>
      </w:pPr>
      <w:r>
        <w:rPr>
          <w:rFonts w:ascii="Times New Roman" w:hAnsi="Times New Roman"/>
          <w:b w:val="0"/>
          <w:i w:val="0"/>
          <w:color w:val="000000"/>
          <w:sz w:val="19"/>
        </w:rPr>
        <w:t>RAGAs evaluates generated assertions against context [8], which differs from a numeric token-presence check. MATSA addresses fine-grained table structure attribution [9], and TabFaith studies structural faithfulness in table summarization [10]. MITRA’s mutation probes serve as a small application-specific diagnostic in this area.</w:t>
      </w:r>
    </w:p>
    <w:p>
      <w:pPr>
        <w:spacing w:before="0" w:after="80" w:line="252" w:lineRule="auto"/>
        <w:jc w:val="both"/>
      </w:pPr>
      <w:r>
        <w:rPr>
          <w:rFonts w:ascii="Times New Roman" w:hAnsi="Times New Roman"/>
          <w:b w:val="0"/>
          <w:i w:val="0"/>
          <w:color w:val="000000"/>
          <w:sz w:val="19"/>
        </w:rPr>
        <w:t>Broader background frames the design. Unsupported generation is documented across natural language generation tasks [11], which is why critical values are kept on a deterministic path. BEIR reports BM25 as a robust zero-shot baseline [12], which motivates the lexical comparison in Section V. TyDi QA and XOR QA show the difficulty of cross-lingual and low-resource question answering [13], [14]. Provenance research distinguishes why- and where-provenance [15], supporting the retention of source and academic-year metadata with each record. These sources provide context rather than measured baselines.</w:t>
      </w:r>
    </w:p>
    <w:p>
      <w:pPr>
        <w:spacing w:before="0" w:after="80" w:line="252" w:lineRule="auto"/>
        <w:jc w:val="both"/>
      </w:pPr>
      <w:r>
        <w:rPr>
          <w:rFonts w:ascii="Times New Roman" w:hAnsi="Times New Roman"/>
          <w:b w:val="0"/>
          <w:i w:val="0"/>
          <w:color w:val="000000"/>
          <w:sz w:val="19"/>
        </w:rPr>
        <w:t>Table I relates prior work to the present implementation. No external system was rerun on MITRA’s corpus, so the table implies no performance ranking.</w:t>
      </w:r>
    </w:p>
    <w:p>
      <w:pPr>
        <w:keepNext/>
        <w:spacing w:before="200" w:after="60"/>
      </w:pPr>
      <w:r>
        <w:rPr>
          <w:rFonts w:ascii="Times New Roman" w:hAnsi="Times New Roman"/>
          <w:b/>
          <w:i/>
          <w:color w:val="000000"/>
          <w:sz w:val="20"/>
        </w:rPr>
        <w:t>TABLE I: LITERATURE REVIEW AND THE BOUNDED POSITION OF THIS STUDY</w:t>
      </w:r>
    </w:p>
    <w:tbl>
      <w:tblPr>
        <w:tblW w:type="auto" w:w="0"/>
        <w:jc w:val="center"/>
        <w:tblLook w:firstColumn="1" w:firstRow="1" w:lastColumn="0" w:lastRow="0" w:noHBand="0" w:noVBand="1" w:val="04A0"/>
      </w:tblPr>
      <w:tblGrid>
        <w:gridCol w:w="2520"/>
        <w:gridCol w:w="2520"/>
        <w:gridCol w:w="2520"/>
        <w:gridCol w:w="2520"/>
      </w:tblGrid>
      <w:tr>
        <w:tc>
          <w:tcPr>
            <w:tcW w:type="dxa" w:w="2520"/>
          </w:tcPr>
          <w:p>
            <w:pPr>
              <w:jc w:val="left"/>
            </w:pPr>
            <w:r>
              <w:rPr>
                <w:rFonts w:ascii="Times New Roman" w:hAnsi="Times New Roman"/>
                <w:b/>
                <w:i w:val="0"/>
                <w:color w:val="000000"/>
                <w:sz w:val="17"/>
              </w:rPr>
              <w:t>Ref. / Year</w:t>
            </w:r>
          </w:p>
        </w:tc>
        <w:tc>
          <w:tcPr>
            <w:tcW w:type="dxa" w:w="2520"/>
          </w:tcPr>
          <w:p>
            <w:pPr>
              <w:jc w:val="left"/>
            </w:pPr>
            <w:r>
              <w:rPr>
                <w:rFonts w:ascii="Times New Roman" w:hAnsi="Times New Roman"/>
                <w:b/>
                <w:i w:val="0"/>
                <w:color w:val="000000"/>
                <w:sz w:val="17"/>
              </w:rPr>
              <w:t>Methodology</w:t>
            </w:r>
          </w:p>
        </w:tc>
        <w:tc>
          <w:tcPr>
            <w:tcW w:type="dxa" w:w="2520"/>
          </w:tcPr>
          <w:p>
            <w:pPr>
              <w:jc w:val="left"/>
            </w:pPr>
            <w:r>
              <w:rPr>
                <w:rFonts w:ascii="Times New Roman" w:hAnsi="Times New Roman"/>
                <w:b/>
                <w:i w:val="0"/>
                <w:color w:val="000000"/>
                <w:sz w:val="17"/>
              </w:rPr>
              <w:t>Key finding</w:t>
            </w:r>
          </w:p>
        </w:tc>
        <w:tc>
          <w:tcPr>
            <w:tcW w:type="dxa" w:w="2520"/>
          </w:tcPr>
          <w:p>
            <w:pPr>
              <w:jc w:val="left"/>
            </w:pPr>
            <w:r>
              <w:rPr>
                <w:rFonts w:ascii="Times New Roman" w:hAnsi="Times New Roman"/>
                <w:b/>
                <w:i w:val="0"/>
                <w:color w:val="000000"/>
                <w:sz w:val="17"/>
              </w:rPr>
              <w:t>Limitation relative to this study</w:t>
            </w:r>
          </w:p>
        </w:tc>
      </w:tr>
      <w:tr>
        <w:tc>
          <w:tcPr>
            <w:tcW w:type="dxa" w:w="2520"/>
          </w:tcPr>
          <w:p>
            <w:pPr>
              <w:jc w:val="left"/>
            </w:pPr>
            <w:r>
              <w:rPr>
                <w:rFonts w:ascii="Times New Roman" w:hAnsi="Times New Roman"/>
                <w:b w:val="0"/>
                <w:i w:val="0"/>
                <w:color w:val="000000"/>
                <w:sz w:val="17"/>
              </w:rPr>
              <w:t>[1] 2020</w:t>
            </w:r>
          </w:p>
        </w:tc>
        <w:tc>
          <w:tcPr>
            <w:tcW w:type="dxa" w:w="2520"/>
          </w:tcPr>
          <w:p>
            <w:pPr>
              <w:jc w:val="left"/>
            </w:pPr>
            <w:r>
              <w:rPr>
                <w:rFonts w:ascii="Times New Roman" w:hAnsi="Times New Roman"/>
                <w:b w:val="0"/>
                <w:i w:val="0"/>
                <w:color w:val="000000"/>
                <w:sz w:val="17"/>
              </w:rPr>
              <w:t>Retrieval-augmented generation</w:t>
            </w:r>
          </w:p>
        </w:tc>
        <w:tc>
          <w:tcPr>
            <w:tcW w:type="dxa" w:w="2520"/>
          </w:tcPr>
          <w:p>
            <w:pPr>
              <w:jc w:val="left"/>
            </w:pPr>
            <w:r>
              <w:rPr>
                <w:rFonts w:ascii="Times New Roman" w:hAnsi="Times New Roman"/>
                <w:b w:val="0"/>
                <w:i w:val="0"/>
                <w:color w:val="000000"/>
                <w:sz w:val="17"/>
              </w:rPr>
              <w:t>Retrieved knowledge conditions language generation</w:t>
            </w:r>
          </w:p>
        </w:tc>
        <w:tc>
          <w:tcPr>
            <w:tcW w:type="dxa" w:w="2520"/>
          </w:tcPr>
          <w:p>
            <w:pPr>
              <w:jc w:val="left"/>
            </w:pPr>
            <w:r>
              <w:rPr>
                <w:rFonts w:ascii="Times New Roman" w:hAnsi="Times New Roman"/>
                <w:b w:val="0"/>
                <w:i w:val="0"/>
                <w:color w:val="000000"/>
                <w:sz w:val="17"/>
              </w:rPr>
              <w:t>Jointly trained architecture; MITRA uses optional evidence-conditioned generation</w:t>
            </w:r>
          </w:p>
        </w:tc>
      </w:tr>
      <w:tr>
        <w:tc>
          <w:tcPr>
            <w:tcW w:type="dxa" w:w="2520"/>
          </w:tcPr>
          <w:p>
            <w:pPr>
              <w:jc w:val="left"/>
            </w:pPr>
            <w:r>
              <w:rPr>
                <w:rFonts w:ascii="Times New Roman" w:hAnsi="Times New Roman"/>
                <w:b w:val="0"/>
                <w:i w:val="0"/>
                <w:color w:val="000000"/>
                <w:sz w:val="17"/>
              </w:rPr>
              <w:t>[2] 2009</w:t>
            </w:r>
          </w:p>
        </w:tc>
        <w:tc>
          <w:tcPr>
            <w:tcW w:type="dxa" w:w="2520"/>
          </w:tcPr>
          <w:p>
            <w:pPr>
              <w:jc w:val="left"/>
            </w:pPr>
            <w:r>
              <w:rPr>
                <w:rFonts w:ascii="Times New Roman" w:hAnsi="Times New Roman"/>
                <w:b w:val="0"/>
                <w:i w:val="0"/>
                <w:color w:val="000000"/>
                <w:sz w:val="17"/>
              </w:rPr>
              <w:t>BM25 probabilistic relevance framework</w:t>
            </w:r>
          </w:p>
        </w:tc>
        <w:tc>
          <w:tcPr>
            <w:tcW w:type="dxa" w:w="2520"/>
          </w:tcPr>
          <w:p>
            <w:pPr>
              <w:jc w:val="left"/>
            </w:pPr>
            <w:r>
              <w:rPr>
                <w:rFonts w:ascii="Times New Roman" w:hAnsi="Times New Roman"/>
                <w:b w:val="0"/>
                <w:i w:val="0"/>
                <w:color w:val="000000"/>
                <w:sz w:val="17"/>
              </w:rPr>
              <w:t>Established lexical ranking baseline</w:t>
            </w:r>
          </w:p>
        </w:tc>
        <w:tc>
          <w:tcPr>
            <w:tcW w:type="dxa" w:w="2520"/>
          </w:tcPr>
          <w:p>
            <w:pPr>
              <w:jc w:val="left"/>
            </w:pPr>
            <w:r>
              <w:rPr>
                <w:rFonts w:ascii="Times New Roman" w:hAnsi="Times New Roman"/>
                <w:b w:val="0"/>
                <w:i w:val="0"/>
                <w:color w:val="000000"/>
                <w:sz w:val="17"/>
              </w:rPr>
              <w:t>Lexical ranking only; MITRA adds applicant-scope handling</w:t>
            </w:r>
          </w:p>
        </w:tc>
      </w:tr>
      <w:tr>
        <w:tc>
          <w:tcPr>
            <w:tcW w:type="dxa" w:w="2520"/>
          </w:tcPr>
          <w:p>
            <w:pPr>
              <w:jc w:val="left"/>
            </w:pPr>
            <w:r>
              <w:rPr>
                <w:rFonts w:ascii="Times New Roman" w:hAnsi="Times New Roman"/>
                <w:b w:val="0"/>
                <w:i w:val="0"/>
                <w:color w:val="000000"/>
                <w:sz w:val="17"/>
              </w:rPr>
              <w:t>[3] 2025</w:t>
            </w:r>
          </w:p>
        </w:tc>
        <w:tc>
          <w:tcPr>
            <w:tcW w:type="dxa" w:w="2520"/>
          </w:tcPr>
          <w:p>
            <w:pPr>
              <w:jc w:val="left"/>
            </w:pPr>
            <w:r>
              <w:rPr>
                <w:rFonts w:ascii="Times New Roman" w:hAnsi="Times New Roman"/>
                <w:b w:val="0"/>
                <w:i w:val="0"/>
                <w:color w:val="000000"/>
                <w:sz w:val="17"/>
              </w:rPr>
              <w:t>Hybrid RAG for university admissions</w:t>
            </w:r>
          </w:p>
        </w:tc>
        <w:tc>
          <w:tcPr>
            <w:tcW w:type="dxa" w:w="2520"/>
          </w:tcPr>
          <w:p>
            <w:pPr>
              <w:jc w:val="left"/>
            </w:pPr>
            <w:r>
              <w:rPr>
                <w:rFonts w:ascii="Times New Roman" w:hAnsi="Times New Roman"/>
                <w:b w:val="0"/>
                <w:i w:val="0"/>
                <w:color w:val="000000"/>
                <w:sz w:val="17"/>
              </w:rPr>
              <w:t>FAQ answering placed before document-based generation</w:t>
            </w:r>
          </w:p>
        </w:tc>
        <w:tc>
          <w:tcPr>
            <w:tcW w:type="dxa" w:w="2520"/>
          </w:tcPr>
          <w:p>
            <w:pPr>
              <w:jc w:val="left"/>
            </w:pPr>
            <w:r>
              <w:rPr>
                <w:rFonts w:ascii="Times New Roman" w:hAnsi="Times New Roman"/>
                <w:b w:val="0"/>
                <w:i w:val="0"/>
                <w:color w:val="000000"/>
                <w:sz w:val="17"/>
              </w:rPr>
              <w:t>Different institution and dataset; not rerun on MITRA’s corpus</w:t>
            </w:r>
          </w:p>
        </w:tc>
      </w:tr>
      <w:tr>
        <w:tc>
          <w:tcPr>
            <w:tcW w:type="dxa" w:w="2520"/>
          </w:tcPr>
          <w:p>
            <w:pPr>
              <w:jc w:val="left"/>
            </w:pPr>
            <w:r>
              <w:rPr>
                <w:rFonts w:ascii="Times New Roman" w:hAnsi="Times New Roman"/>
                <w:b w:val="0"/>
                <w:i w:val="0"/>
                <w:color w:val="000000"/>
                <w:sz w:val="17"/>
              </w:rPr>
              <w:t>[4] 2024</w:t>
            </w:r>
          </w:p>
        </w:tc>
        <w:tc>
          <w:tcPr>
            <w:tcW w:type="dxa" w:w="2520"/>
          </w:tcPr>
          <w:p>
            <w:pPr>
              <w:jc w:val="left"/>
            </w:pPr>
            <w:r>
              <w:rPr>
                <w:rFonts w:ascii="Times New Roman" w:hAnsi="Times New Roman"/>
                <w:b w:val="0"/>
                <w:i w:val="0"/>
                <w:color w:val="000000"/>
                <w:sz w:val="17"/>
              </w:rPr>
              <w:t>Intent-filtered admissions RAG</w:t>
            </w:r>
          </w:p>
        </w:tc>
        <w:tc>
          <w:tcPr>
            <w:tcW w:type="dxa" w:w="2520"/>
          </w:tcPr>
          <w:p>
            <w:pPr>
              <w:jc w:val="left"/>
            </w:pPr>
            <w:r>
              <w:rPr>
                <w:rFonts w:ascii="Times New Roman" w:hAnsi="Times New Roman"/>
                <w:b w:val="0"/>
                <w:i w:val="0"/>
                <w:color w:val="000000"/>
                <w:sz w:val="17"/>
              </w:rPr>
              <w:t>Intent filtering combined with admissions RAG</w:t>
            </w:r>
          </w:p>
        </w:tc>
        <w:tc>
          <w:tcPr>
            <w:tcW w:type="dxa" w:w="2520"/>
          </w:tcPr>
          <w:p>
            <w:pPr>
              <w:jc w:val="left"/>
            </w:pPr>
            <w:r>
              <w:rPr>
                <w:rFonts w:ascii="Times New Roman" w:hAnsi="Times New Roman"/>
                <w:b w:val="0"/>
                <w:i w:val="0"/>
                <w:color w:val="000000"/>
                <w:sz w:val="17"/>
              </w:rPr>
              <w:t>Different institution and protocol; not rerun here</w:t>
            </w:r>
          </w:p>
        </w:tc>
      </w:tr>
      <w:tr>
        <w:tc>
          <w:tcPr>
            <w:tcW w:type="dxa" w:w="2520"/>
          </w:tcPr>
          <w:p>
            <w:pPr>
              <w:jc w:val="left"/>
            </w:pPr>
            <w:r>
              <w:rPr>
                <w:rFonts w:ascii="Times New Roman" w:hAnsi="Times New Roman"/>
                <w:b w:val="0"/>
                <w:i w:val="0"/>
                <w:color w:val="000000"/>
                <w:sz w:val="17"/>
              </w:rPr>
              <w:t>[5] 2025</w:t>
            </w:r>
          </w:p>
        </w:tc>
        <w:tc>
          <w:tcPr>
            <w:tcW w:type="dxa" w:w="2520"/>
          </w:tcPr>
          <w:p>
            <w:pPr>
              <w:jc w:val="left"/>
            </w:pPr>
            <w:r>
              <w:rPr>
                <w:rFonts w:ascii="Times New Roman" w:hAnsi="Times New Roman"/>
                <w:b w:val="0"/>
                <w:i w:val="0"/>
                <w:color w:val="000000"/>
                <w:sz w:val="17"/>
              </w:rPr>
              <w:t>Multi-agent admissions application</w:t>
            </w:r>
          </w:p>
        </w:tc>
        <w:tc>
          <w:tcPr>
            <w:tcW w:type="dxa" w:w="2520"/>
          </w:tcPr>
          <w:p>
            <w:pPr>
              <w:jc w:val="left"/>
            </w:pPr>
            <w:r>
              <w:rPr>
                <w:rFonts w:ascii="Times New Roman" w:hAnsi="Times New Roman"/>
                <w:b w:val="0"/>
                <w:i w:val="0"/>
                <w:color w:val="000000"/>
                <w:sz w:val="17"/>
              </w:rPr>
              <w:t>Multi-agent RAG applied to admissions counseling</w:t>
            </w:r>
          </w:p>
        </w:tc>
        <w:tc>
          <w:tcPr>
            <w:tcW w:type="dxa" w:w="2520"/>
          </w:tcPr>
          <w:p>
            <w:pPr>
              <w:jc w:val="left"/>
            </w:pPr>
            <w:r>
              <w:rPr>
                <w:rFonts w:ascii="Times New Roman" w:hAnsi="Times New Roman"/>
                <w:b w:val="0"/>
                <w:i w:val="0"/>
                <w:color w:val="000000"/>
                <w:sz w:val="17"/>
              </w:rPr>
              <w:t>Single-backend MITRA not compared; no ranking inferred</w:t>
            </w:r>
          </w:p>
        </w:tc>
      </w:tr>
      <w:tr>
        <w:tc>
          <w:tcPr>
            <w:tcW w:type="dxa" w:w="2520"/>
          </w:tcPr>
          <w:p>
            <w:pPr>
              <w:jc w:val="left"/>
            </w:pPr>
            <w:r>
              <w:rPr>
                <w:rFonts w:ascii="Times New Roman" w:hAnsi="Times New Roman"/>
                <w:b w:val="0"/>
                <w:i w:val="0"/>
                <w:color w:val="000000"/>
                <w:sz w:val="17"/>
              </w:rPr>
              <w:t>[6] 2024</w:t>
            </w:r>
          </w:p>
        </w:tc>
        <w:tc>
          <w:tcPr>
            <w:tcW w:type="dxa" w:w="2520"/>
          </w:tcPr>
          <w:p>
            <w:pPr>
              <w:jc w:val="left"/>
            </w:pPr>
            <w:r>
              <w:rPr>
                <w:rFonts w:ascii="Times New Roman" w:hAnsi="Times New Roman"/>
                <w:b w:val="0"/>
                <w:i w:val="0"/>
                <w:color w:val="000000"/>
                <w:sz w:val="17"/>
              </w:rPr>
              <w:t>RAG with conversation history</w:t>
            </w:r>
          </w:p>
        </w:tc>
        <w:tc>
          <w:tcPr>
            <w:tcW w:type="dxa" w:w="2520"/>
          </w:tcPr>
          <w:p>
            <w:pPr>
              <w:jc w:val="left"/>
            </w:pPr>
            <w:r>
              <w:rPr>
                <w:rFonts w:ascii="Times New Roman" w:hAnsi="Times New Roman"/>
                <w:b w:val="0"/>
                <w:i w:val="0"/>
                <w:color w:val="000000"/>
                <w:sz w:val="17"/>
              </w:rPr>
              <w:t>Academic RAG that carries conversation history</w:t>
            </w:r>
          </w:p>
        </w:tc>
        <w:tc>
          <w:tcPr>
            <w:tcW w:type="dxa" w:w="2520"/>
          </w:tcPr>
          <w:p>
            <w:pPr>
              <w:jc w:val="left"/>
            </w:pPr>
            <w:r>
              <w:rPr>
                <w:rFonts w:ascii="Times New Roman" w:hAnsi="Times New Roman"/>
                <w:b w:val="0"/>
                <w:i w:val="0"/>
                <w:color w:val="000000"/>
                <w:sz w:val="17"/>
              </w:rPr>
              <w:t>Architectural comparison only; accuracy not compared</w:t>
            </w:r>
          </w:p>
        </w:tc>
      </w:tr>
      <w:tr>
        <w:tc>
          <w:tcPr>
            <w:tcW w:type="dxa" w:w="2520"/>
          </w:tcPr>
          <w:p>
            <w:pPr>
              <w:jc w:val="left"/>
            </w:pPr>
            <w:r>
              <w:rPr>
                <w:rFonts w:ascii="Times New Roman" w:hAnsi="Times New Roman"/>
                <w:b w:val="0"/>
                <w:i w:val="0"/>
                <w:color w:val="000000"/>
                <w:sz w:val="17"/>
              </w:rPr>
              <w:t>[7] 2020</w:t>
            </w:r>
          </w:p>
        </w:tc>
        <w:tc>
          <w:tcPr>
            <w:tcW w:type="dxa" w:w="2520"/>
          </w:tcPr>
          <w:p>
            <w:pPr>
              <w:jc w:val="left"/>
            </w:pPr>
            <w:r>
              <w:rPr>
                <w:rFonts w:ascii="Times New Roman" w:hAnsi="Times New Roman"/>
                <w:b w:val="0"/>
                <w:i w:val="0"/>
                <w:color w:val="000000"/>
                <w:sz w:val="17"/>
              </w:rPr>
              <w:t>Indian-language resources and benchmarks</w:t>
            </w:r>
          </w:p>
        </w:tc>
        <w:tc>
          <w:tcPr>
            <w:tcW w:type="dxa" w:w="2520"/>
          </w:tcPr>
          <w:p>
            <w:pPr>
              <w:jc w:val="left"/>
            </w:pPr>
            <w:r>
              <w:rPr>
                <w:rFonts w:ascii="Times New Roman" w:hAnsi="Times New Roman"/>
                <w:b w:val="0"/>
                <w:i w:val="0"/>
                <w:color w:val="000000"/>
                <w:sz w:val="17"/>
              </w:rPr>
              <w:t>Corpora and benchmarks for Indian languages</w:t>
            </w:r>
          </w:p>
        </w:tc>
        <w:tc>
          <w:tcPr>
            <w:tcW w:type="dxa" w:w="2520"/>
          </w:tcPr>
          <w:p>
            <w:pPr>
              <w:jc w:val="left"/>
            </w:pPr>
            <w:r>
              <w:rPr>
                <w:rFonts w:ascii="Times New Roman" w:hAnsi="Times New Roman"/>
                <w:b w:val="0"/>
                <w:i w:val="0"/>
                <w:color w:val="000000"/>
                <w:sz w:val="17"/>
              </w:rPr>
              <w:t>MITRA uses its own rules and source-bound translations</w:t>
            </w:r>
          </w:p>
        </w:tc>
      </w:tr>
      <w:tr>
        <w:tc>
          <w:tcPr>
            <w:tcW w:type="dxa" w:w="2520"/>
          </w:tcPr>
          <w:p>
            <w:pPr>
              <w:jc w:val="left"/>
            </w:pPr>
            <w:r>
              <w:rPr>
                <w:rFonts w:ascii="Times New Roman" w:hAnsi="Times New Roman"/>
                <w:b w:val="0"/>
                <w:i w:val="0"/>
                <w:color w:val="000000"/>
                <w:sz w:val="17"/>
              </w:rPr>
              <w:t>[8] 2024</w:t>
            </w:r>
          </w:p>
        </w:tc>
        <w:tc>
          <w:tcPr>
            <w:tcW w:type="dxa" w:w="2520"/>
          </w:tcPr>
          <w:p>
            <w:pPr>
              <w:jc w:val="left"/>
            </w:pPr>
            <w:r>
              <w:rPr>
                <w:rFonts w:ascii="Times New Roman" w:hAnsi="Times New Roman"/>
                <w:b w:val="0"/>
                <w:i w:val="0"/>
                <w:color w:val="000000"/>
                <w:sz w:val="17"/>
              </w:rPr>
              <w:t>Assertion-level RAG evaluation</w:t>
            </w:r>
          </w:p>
        </w:tc>
        <w:tc>
          <w:tcPr>
            <w:tcW w:type="dxa" w:w="2520"/>
          </w:tcPr>
          <w:p>
            <w:pPr>
              <w:jc w:val="left"/>
            </w:pPr>
            <w:r>
              <w:rPr>
                <w:rFonts w:ascii="Times New Roman" w:hAnsi="Times New Roman"/>
                <w:b w:val="0"/>
                <w:i w:val="0"/>
                <w:color w:val="000000"/>
                <w:sz w:val="17"/>
              </w:rPr>
              <w:t>Generated assertions checked against context</w:t>
            </w:r>
          </w:p>
        </w:tc>
        <w:tc>
          <w:tcPr>
            <w:tcW w:type="dxa" w:w="2520"/>
          </w:tcPr>
          <w:p>
            <w:pPr>
              <w:jc w:val="left"/>
            </w:pPr>
            <w:r>
              <w:rPr>
                <w:rFonts w:ascii="Times New Roman" w:hAnsi="Times New Roman"/>
                <w:b w:val="0"/>
                <w:i w:val="0"/>
                <w:color w:val="000000"/>
                <w:sz w:val="17"/>
              </w:rPr>
              <w:t>Assertion-level evaluation; differs from MITRA’s numeric and slot checks</w:t>
            </w:r>
          </w:p>
        </w:tc>
      </w:tr>
      <w:tr>
        <w:tc>
          <w:tcPr>
            <w:tcW w:type="dxa" w:w="2520"/>
          </w:tcPr>
          <w:p>
            <w:pPr>
              <w:jc w:val="left"/>
            </w:pPr>
            <w:r>
              <w:rPr>
                <w:rFonts w:ascii="Times New Roman" w:hAnsi="Times New Roman"/>
                <w:b w:val="0"/>
                <w:i w:val="0"/>
                <w:color w:val="000000"/>
                <w:sz w:val="17"/>
              </w:rPr>
              <w:t>[9] 2024</w:t>
            </w:r>
          </w:p>
        </w:tc>
        <w:tc>
          <w:tcPr>
            <w:tcW w:type="dxa" w:w="2520"/>
          </w:tcPr>
          <w:p>
            <w:pPr>
              <w:jc w:val="left"/>
            </w:pPr>
            <w:r>
              <w:rPr>
                <w:rFonts w:ascii="Times New Roman" w:hAnsi="Times New Roman"/>
                <w:b w:val="0"/>
                <w:i w:val="0"/>
                <w:color w:val="000000"/>
                <w:sz w:val="17"/>
              </w:rPr>
              <w:t>Table structure attribution</w:t>
            </w:r>
          </w:p>
        </w:tc>
        <w:tc>
          <w:tcPr>
            <w:tcW w:type="dxa" w:w="2520"/>
          </w:tcPr>
          <w:p>
            <w:pPr>
              <w:jc w:val="left"/>
            </w:pPr>
            <w:r>
              <w:rPr>
                <w:rFonts w:ascii="Times New Roman" w:hAnsi="Times New Roman"/>
                <w:b w:val="0"/>
                <w:i w:val="0"/>
                <w:color w:val="000000"/>
                <w:sz w:val="17"/>
              </w:rPr>
              <w:t>Fine-grained attribution of table structure</w:t>
            </w:r>
          </w:p>
        </w:tc>
        <w:tc>
          <w:tcPr>
            <w:tcW w:type="dxa" w:w="2520"/>
          </w:tcPr>
          <w:p>
            <w:pPr>
              <w:jc w:val="left"/>
            </w:pPr>
            <w:r>
              <w:rPr>
                <w:rFonts w:ascii="Times New Roman" w:hAnsi="Times New Roman"/>
                <w:b w:val="0"/>
                <w:i w:val="0"/>
                <w:color w:val="000000"/>
                <w:sz w:val="17"/>
              </w:rPr>
              <w:t>Table-attribution task, separate from MITRA’s probes</w:t>
            </w:r>
          </w:p>
        </w:tc>
      </w:tr>
      <w:tr>
        <w:tc>
          <w:tcPr>
            <w:tcW w:type="dxa" w:w="2520"/>
          </w:tcPr>
          <w:p>
            <w:pPr>
              <w:jc w:val="left"/>
            </w:pPr>
            <w:r>
              <w:rPr>
                <w:rFonts w:ascii="Times New Roman" w:hAnsi="Times New Roman"/>
                <w:b w:val="0"/>
                <w:i w:val="0"/>
                <w:color w:val="000000"/>
                <w:sz w:val="17"/>
              </w:rPr>
              <w:t>[10] 2026</w:t>
            </w:r>
          </w:p>
        </w:tc>
        <w:tc>
          <w:tcPr>
            <w:tcW w:type="dxa" w:w="2520"/>
          </w:tcPr>
          <w:p>
            <w:pPr>
              <w:jc w:val="left"/>
            </w:pPr>
            <w:r>
              <w:rPr>
                <w:rFonts w:ascii="Times New Roman" w:hAnsi="Times New Roman"/>
                <w:b w:val="0"/>
                <w:i w:val="0"/>
                <w:color w:val="000000"/>
                <w:sz w:val="17"/>
              </w:rPr>
              <w:t>Table-summarization faithfulness</w:t>
            </w:r>
          </w:p>
        </w:tc>
        <w:tc>
          <w:tcPr>
            <w:tcW w:type="dxa" w:w="2520"/>
          </w:tcPr>
          <w:p>
            <w:pPr>
              <w:jc w:val="left"/>
            </w:pPr>
            <w:r>
              <w:rPr>
                <w:rFonts w:ascii="Times New Roman" w:hAnsi="Times New Roman"/>
                <w:b w:val="0"/>
                <w:i w:val="0"/>
                <w:color w:val="000000"/>
                <w:sz w:val="17"/>
              </w:rPr>
              <w:t>Structural faithfulness in table summaries</w:t>
            </w:r>
          </w:p>
        </w:tc>
        <w:tc>
          <w:tcPr>
            <w:tcW w:type="dxa" w:w="2520"/>
          </w:tcPr>
          <w:p>
            <w:pPr>
              <w:jc w:val="left"/>
            </w:pPr>
            <w:r>
              <w:rPr>
                <w:rFonts w:ascii="Times New Roman" w:hAnsi="Times New Roman"/>
                <w:b w:val="0"/>
                <w:i w:val="0"/>
                <w:color w:val="000000"/>
                <w:sz w:val="17"/>
              </w:rPr>
              <w:t>Table-summarization task, separate from MITRA’s probes</w:t>
            </w:r>
          </w:p>
        </w:tc>
      </w:tr>
      <w:tr>
        <w:tc>
          <w:tcPr>
            <w:tcW w:type="dxa" w:w="2520"/>
          </w:tcPr>
          <w:p>
            <w:pPr>
              <w:jc w:val="left"/>
            </w:pPr>
            <w:r>
              <w:rPr>
                <w:rFonts w:ascii="Times New Roman" w:hAnsi="Times New Roman"/>
                <w:b w:val="0"/>
                <w:i w:val="0"/>
                <w:color w:val="000000"/>
                <w:sz w:val="17"/>
              </w:rPr>
              <w:t>[11] 2023</w:t>
            </w:r>
          </w:p>
        </w:tc>
        <w:tc>
          <w:tcPr>
            <w:tcW w:type="dxa" w:w="2520"/>
          </w:tcPr>
          <w:p>
            <w:pPr>
              <w:jc w:val="left"/>
            </w:pPr>
            <w:r>
              <w:rPr>
                <w:rFonts w:ascii="Times New Roman" w:hAnsi="Times New Roman"/>
                <w:b w:val="0"/>
                <w:i w:val="0"/>
                <w:color w:val="000000"/>
                <w:sz w:val="17"/>
              </w:rPr>
              <w:t>Survey of hallucination in NLG</w:t>
            </w:r>
          </w:p>
        </w:tc>
        <w:tc>
          <w:tcPr>
            <w:tcW w:type="dxa" w:w="2520"/>
          </w:tcPr>
          <w:p>
            <w:pPr>
              <w:jc w:val="left"/>
            </w:pPr>
            <w:r>
              <w:rPr>
                <w:rFonts w:ascii="Times New Roman" w:hAnsi="Times New Roman"/>
                <w:b w:val="0"/>
                <w:i w:val="0"/>
                <w:color w:val="000000"/>
                <w:sz w:val="17"/>
              </w:rPr>
              <w:t>Taxonomy of intrinsic and extrinsic unsupported content</w:t>
            </w:r>
          </w:p>
        </w:tc>
        <w:tc>
          <w:tcPr>
            <w:tcW w:type="dxa" w:w="2520"/>
          </w:tcPr>
          <w:p>
            <w:pPr>
              <w:jc w:val="left"/>
            </w:pPr>
            <w:r>
              <w:rPr>
                <w:rFonts w:ascii="Times New Roman" w:hAnsi="Times New Roman"/>
                <w:b w:val="0"/>
                <w:i w:val="0"/>
                <w:color w:val="000000"/>
                <w:sz w:val="17"/>
              </w:rPr>
              <w:t>Survey; no institutional mitigation</w:t>
            </w:r>
          </w:p>
        </w:tc>
      </w:tr>
      <w:tr>
        <w:tc>
          <w:tcPr>
            <w:tcW w:type="dxa" w:w="2520"/>
          </w:tcPr>
          <w:p>
            <w:pPr>
              <w:jc w:val="left"/>
            </w:pPr>
            <w:r>
              <w:rPr>
                <w:rFonts w:ascii="Times New Roman" w:hAnsi="Times New Roman"/>
                <w:b w:val="0"/>
                <w:i w:val="0"/>
                <w:color w:val="000000"/>
                <w:sz w:val="17"/>
              </w:rPr>
              <w:t>[12] 2021</w:t>
            </w:r>
          </w:p>
        </w:tc>
        <w:tc>
          <w:tcPr>
            <w:tcW w:type="dxa" w:w="2520"/>
          </w:tcPr>
          <w:p>
            <w:pPr>
              <w:jc w:val="left"/>
            </w:pPr>
            <w:r>
              <w:rPr>
                <w:rFonts w:ascii="Times New Roman" w:hAnsi="Times New Roman"/>
                <w:b w:val="0"/>
                <w:i w:val="0"/>
                <w:color w:val="000000"/>
                <w:sz w:val="17"/>
              </w:rPr>
              <w:t>BEIR zero-shot retrieval benchmark</w:t>
            </w:r>
          </w:p>
        </w:tc>
        <w:tc>
          <w:tcPr>
            <w:tcW w:type="dxa" w:w="2520"/>
          </w:tcPr>
          <w:p>
            <w:pPr>
              <w:jc w:val="left"/>
            </w:pPr>
            <w:r>
              <w:rPr>
                <w:rFonts w:ascii="Times New Roman" w:hAnsi="Times New Roman"/>
                <w:b w:val="0"/>
                <w:i w:val="0"/>
                <w:color w:val="000000"/>
                <w:sz w:val="17"/>
              </w:rPr>
              <w:t>BM25 is robust across heterogeneous domains</w:t>
            </w:r>
          </w:p>
        </w:tc>
        <w:tc>
          <w:tcPr>
            <w:tcW w:type="dxa" w:w="2520"/>
          </w:tcPr>
          <w:p>
            <w:pPr>
              <w:jc w:val="left"/>
            </w:pPr>
            <w:r>
              <w:rPr>
                <w:rFonts w:ascii="Times New Roman" w:hAnsi="Times New Roman"/>
                <w:b w:val="0"/>
                <w:i w:val="0"/>
                <w:color w:val="000000"/>
                <w:sz w:val="17"/>
              </w:rPr>
              <w:t>Corpora differ from a small institutional corpus</w:t>
            </w:r>
          </w:p>
        </w:tc>
      </w:tr>
      <w:tr>
        <w:tc>
          <w:tcPr>
            <w:tcW w:type="dxa" w:w="2520"/>
          </w:tcPr>
          <w:p>
            <w:pPr>
              <w:jc w:val="left"/>
            </w:pPr>
            <w:r>
              <w:rPr>
                <w:rFonts w:ascii="Times New Roman" w:hAnsi="Times New Roman"/>
                <w:b w:val="0"/>
                <w:i w:val="0"/>
                <w:color w:val="000000"/>
                <w:sz w:val="17"/>
              </w:rPr>
              <w:t>[13], [14] 2020–21</w:t>
            </w:r>
          </w:p>
        </w:tc>
        <w:tc>
          <w:tcPr>
            <w:tcW w:type="dxa" w:w="2520"/>
          </w:tcPr>
          <w:p>
            <w:pPr>
              <w:jc w:val="left"/>
            </w:pPr>
            <w:r>
              <w:rPr>
                <w:rFonts w:ascii="Times New Roman" w:hAnsi="Times New Roman"/>
                <w:b w:val="0"/>
                <w:i w:val="0"/>
                <w:color w:val="000000"/>
                <w:sz w:val="17"/>
              </w:rPr>
              <w:t>TyDi QA; XOR QA</w:t>
            </w:r>
          </w:p>
        </w:tc>
        <w:tc>
          <w:tcPr>
            <w:tcW w:type="dxa" w:w="2520"/>
          </w:tcPr>
          <w:p>
            <w:pPr>
              <w:jc w:val="left"/>
            </w:pPr>
            <w:r>
              <w:rPr>
                <w:rFonts w:ascii="Times New Roman" w:hAnsi="Times New Roman"/>
                <w:b w:val="0"/>
                <w:i w:val="0"/>
                <w:color w:val="000000"/>
                <w:sz w:val="17"/>
              </w:rPr>
              <w:t>Cross-lingual and low-resource QA is difficult</w:t>
            </w:r>
          </w:p>
        </w:tc>
        <w:tc>
          <w:tcPr>
            <w:tcW w:type="dxa" w:w="2520"/>
          </w:tcPr>
          <w:p>
            <w:pPr>
              <w:jc w:val="left"/>
            </w:pPr>
            <w:r>
              <w:rPr>
                <w:rFonts w:ascii="Times New Roman" w:hAnsi="Times New Roman"/>
                <w:b w:val="0"/>
                <w:i w:val="0"/>
                <w:color w:val="000000"/>
                <w:sz w:val="17"/>
              </w:rPr>
              <w:t>General benchmarks; no admissions data</w:t>
            </w:r>
          </w:p>
        </w:tc>
      </w:tr>
      <w:tr>
        <w:tc>
          <w:tcPr>
            <w:tcW w:type="dxa" w:w="2520"/>
          </w:tcPr>
          <w:p>
            <w:pPr>
              <w:jc w:val="left"/>
            </w:pPr>
            <w:r>
              <w:rPr>
                <w:rFonts w:ascii="Times New Roman" w:hAnsi="Times New Roman"/>
                <w:b w:val="0"/>
                <w:i w:val="0"/>
                <w:color w:val="000000"/>
                <w:sz w:val="17"/>
              </w:rPr>
              <w:t>[15] 2001</w:t>
            </w:r>
          </w:p>
        </w:tc>
        <w:tc>
          <w:tcPr>
            <w:tcW w:type="dxa" w:w="2520"/>
          </w:tcPr>
          <w:p>
            <w:pPr>
              <w:jc w:val="left"/>
            </w:pPr>
            <w:r>
              <w:rPr>
                <w:rFonts w:ascii="Times New Roman" w:hAnsi="Times New Roman"/>
                <w:b w:val="0"/>
                <w:i w:val="0"/>
                <w:color w:val="000000"/>
                <w:sz w:val="17"/>
              </w:rPr>
              <w:t>Why- and where-provenance</w:t>
            </w:r>
          </w:p>
        </w:tc>
        <w:tc>
          <w:tcPr>
            <w:tcW w:type="dxa" w:w="2520"/>
          </w:tcPr>
          <w:p>
            <w:pPr>
              <w:jc w:val="left"/>
            </w:pPr>
            <w:r>
              <w:rPr>
                <w:rFonts w:ascii="Times New Roman" w:hAnsi="Times New Roman"/>
                <w:b w:val="0"/>
                <w:i w:val="0"/>
                <w:color w:val="000000"/>
                <w:sz w:val="17"/>
              </w:rPr>
              <w:t>Formal characterization of data provenance</w:t>
            </w:r>
          </w:p>
        </w:tc>
        <w:tc>
          <w:tcPr>
            <w:tcW w:type="dxa" w:w="2520"/>
          </w:tcPr>
          <w:p>
            <w:pPr>
              <w:jc w:val="left"/>
            </w:pPr>
            <w:r>
              <w:rPr>
                <w:rFonts w:ascii="Times New Roman" w:hAnsi="Times New Roman"/>
                <w:b w:val="0"/>
                <w:i w:val="0"/>
                <w:color w:val="000000"/>
                <w:sz w:val="17"/>
              </w:rPr>
              <w:t>Database theory; not a chatbot design</w:t>
            </w:r>
          </w:p>
        </w:tc>
      </w:tr>
      <w:tr>
        <w:tc>
          <w:tcPr>
            <w:tcW w:type="dxa" w:w="2520"/>
          </w:tcPr>
          <w:p>
            <w:pPr>
              <w:jc w:val="left"/>
            </w:pPr>
            <w:r>
              <w:rPr>
                <w:rFonts w:ascii="Times New Roman" w:hAnsi="Times New Roman"/>
                <w:b w:val="0"/>
                <w:i w:val="0"/>
                <w:color w:val="000000"/>
                <w:sz w:val="17"/>
              </w:rPr>
              <w:t>[16] 2024</w:t>
            </w:r>
          </w:p>
        </w:tc>
        <w:tc>
          <w:tcPr>
            <w:tcW w:type="dxa" w:w="2520"/>
          </w:tcPr>
          <w:p>
            <w:pPr>
              <w:jc w:val="left"/>
            </w:pPr>
            <w:r>
              <w:rPr>
                <w:rFonts w:ascii="Times New Roman" w:hAnsi="Times New Roman"/>
                <w:b w:val="0"/>
                <w:i w:val="0"/>
                <w:color w:val="000000"/>
                <w:sz w:val="17"/>
              </w:rPr>
              <w:t>RAG admissions chatbot (GPT-3.5 with LlamaIndex)</w:t>
            </w:r>
          </w:p>
        </w:tc>
        <w:tc>
          <w:tcPr>
            <w:tcW w:type="dxa" w:w="2520"/>
          </w:tcPr>
          <w:p>
            <w:pPr>
              <w:jc w:val="left"/>
            </w:pPr>
            <w:r>
              <w:rPr>
                <w:rFonts w:ascii="Times New Roman" w:hAnsi="Times New Roman"/>
                <w:b w:val="0"/>
                <w:i w:val="0"/>
                <w:color w:val="000000"/>
                <w:sz w:val="17"/>
              </w:rPr>
              <w:t>Applied to admission data from three universities; feedback from 53 high-school students</w:t>
            </w:r>
          </w:p>
        </w:tc>
        <w:tc>
          <w:tcPr>
            <w:tcW w:type="dxa" w:w="2520"/>
          </w:tcPr>
          <w:p>
            <w:pPr>
              <w:jc w:val="left"/>
            </w:pPr>
            <w:r>
              <w:rPr>
                <w:rFonts w:ascii="Times New Roman" w:hAnsi="Times New Roman"/>
                <w:b w:val="0"/>
                <w:i w:val="0"/>
                <w:color w:val="000000"/>
                <w:sz w:val="17"/>
              </w:rPr>
              <w:t>Different institutions and protocol; not rerun on MITRA’s corpus</w:t>
            </w:r>
          </w:p>
        </w:tc>
      </w:tr>
    </w:tbl>
    <w:p>
      <w:pPr>
        <w:spacing w:after="120"/>
      </w:pPr>
    </w:p>
    <w:p>
      <w:pPr>
        <w:spacing w:before="0" w:after="80" w:line="252" w:lineRule="auto"/>
        <w:jc w:val="both"/>
      </w:pPr>
      <w:r>
        <w:rPr>
          <w:rFonts w:ascii="Times New Roman" w:hAnsi="Times New Roman"/>
          <w:b w:val="0"/>
          <w:i w:val="0"/>
          <w:color w:val="000000"/>
          <w:sz w:val="19"/>
        </w:rPr>
        <w:t>MITRA’s research position is deliberately focused: it shows how these concerns interact in a working institutional prototype and makes selected failures reproducible. Admissions studies that evaluate with real users, such as MARAUS [5], which processed over 6,000 user interactions, and Chen et al. [16], who collected feedback from 53 high-school students, rest on broader user interaction volume than MITRA’s human-evaluated 90-case benchmark, and MITRA claims no general accuracy advantage over them. A comparative study should next examine longitudinal interaction patterns on continuous unconstrained applicant streams on the same frozen corpus.</w:t>
      </w:r>
    </w:p>
    <w:p>
      <w:pPr>
        <w:keepNext/>
        <w:spacing w:before="280" w:after="80"/>
      </w:pPr>
      <w:r>
        <w:rPr>
          <w:rFonts w:ascii="Times New Roman" w:hAnsi="Times New Roman"/>
          <w:b/>
          <w:i w:val="0"/>
          <w:color w:val="000000"/>
          <w:sz w:val="22"/>
        </w:rPr>
        <w:t>III. INSTITUTIONAL KNOWLEDGE AND SYSTEM ARCHITECTURE</w:t>
      </w:r>
    </w:p>
    <w:p>
      <w:pPr>
        <w:keepNext/>
        <w:spacing w:before="200" w:after="60"/>
      </w:pPr>
      <w:r>
        <w:rPr>
          <w:rFonts w:ascii="Times New Roman" w:hAnsi="Times New Roman"/>
          <w:b/>
          <w:i/>
          <w:color w:val="000000"/>
          <w:sz w:val="20"/>
        </w:rPr>
        <w:t>3.1 Knowledge Representation and Maintenance</w:t>
      </w:r>
    </w:p>
    <w:p>
      <w:pPr>
        <w:spacing w:before="0" w:after="80" w:line="252" w:lineRule="auto"/>
        <w:jc w:val="both"/>
      </w:pPr>
      <w:r>
        <w:rPr>
          <w:rFonts w:ascii="Times New Roman" w:hAnsi="Times New Roman"/>
          <w:b w:val="0"/>
          <w:i w:val="0"/>
          <w:color w:val="000000"/>
          <w:sz w:val="19"/>
        </w:rPr>
        <w:t>The development corpus contains 51 published seed records covering institutional topics. Records may include structured facts, source links, publication status, revision information and validity metadata. The seeded corpus is separate from the maintained live database, and each experiment identifies the snapshot it uses. Structured academic-fee records distinguish entry route and applicant attributes, and accommodation records distinguish hostel, refundable deposit and annual mess amounts. Programme records supply maintained intake values in place of a model-generated programme list.</w:t>
      </w:r>
    </w:p>
    <w:p>
      <w:pPr>
        <w:spacing w:before="0" w:after="80" w:line="252" w:lineRule="auto"/>
        <w:jc w:val="both"/>
      </w:pPr>
      <w:r>
        <w:rPr>
          <w:rFonts w:ascii="Times New Roman" w:hAnsi="Times New Roman"/>
          <w:b w:val="0"/>
          <w:i w:val="0"/>
          <w:color w:val="000000"/>
          <w:sz w:val="19"/>
        </w:rPr>
        <w:t>Source material (PDF, scanned documents, TXT and CSV) is processed with Poppler text extraction and English Tesseract OCR, structured into records with source metadata, academic year and content hashes, reviewed by a maintainer and then published. Because the OCR configuration is English-only, scanned Marathi or Hindi (Devanagari) documents enter the knowledge base through an alternative route.</w:t>
      </w:r>
    </w:p>
    <w:p>
      <w:pPr>
        <w:spacing w:before="0" w:after="80" w:line="252" w:lineRule="auto"/>
        <w:jc w:val="both"/>
      </w:pPr>
      <w:r>
        <w:rPr>
          <w:rFonts w:ascii="Times New Roman" w:hAnsi="Times New Roman"/>
          <w:b w:val="0"/>
          <w:i w:val="0"/>
          <w:color w:val="000000"/>
          <w:sz w:val="19"/>
        </w:rPr>
        <w:t>Knowledge changes pass through authenticated maintenance endpoints. Validation checks record structure and selected numeric and year fields, and revision checks reject stale edits so that two maintainers cannot silently overwrite each other. A record moves from draft to review to published and may later be archived or retired; only published records are eligible for public retrieval (Fig. 1). Retired or conflicting canonical records do not revive an older hardcoded figure. Website monitoring stages detected numerical, academic-year and content changes for maintainer review before any publication. Missing source metadata is recorded as unknown rather than as verified provenance. Content hashes verify file integrity, source metadata identifies origin, and institutional review records approval; none of these alone establishes that the underlying information is correct or current.</w:t>
      </w:r>
    </w:p>
    <w:p>
      <w:pPr>
        <w:spacing w:before="0" w:after="80" w:line="252" w:lineRule="auto"/>
        <w:jc w:val="both"/>
      </w:pPr>
      <w:r>
        <w:rPr>
          <w:rFonts w:ascii="Times New Roman" w:hAnsi="Times New Roman"/>
          <w:b w:val="0"/>
          <w:i w:val="0"/>
          <w:color w:val="000000"/>
          <w:sz w:val="19"/>
        </w:rPr>
        <w:t>Institutional facts were transcribed from approved or signed circulars and internally reviewed by the Authority, as reported by the project team. Three archived fee-table crops were inspected against the maintained amounts; because the crops omit signature blocks, institutional approval is attributed to the team. Source-image hashes preserve the inspected files.</w:t>
      </w:r>
    </w:p>
    <w:p>
      <w:pPr>
        <w:keepNext/>
        <w:spacing w:before="200" w:after="60"/>
      </w:pPr>
      <w:r>
        <w:rPr>
          <w:rFonts w:ascii="Times New Roman" w:hAnsi="Times New Roman"/>
          <w:b/>
          <w:i/>
          <w:color w:val="000000"/>
          <w:sz w:val="20"/>
        </w:rPr>
        <w:t>3.2 Application Boundaries</w:t>
      </w:r>
    </w:p>
    <w:p>
      <w:pPr>
        <w:spacing w:before="0" w:after="80" w:line="252" w:lineRule="auto"/>
        <w:jc w:val="both"/>
      </w:pPr>
      <w:r>
        <w:rPr>
          <w:rFonts w:ascii="Times New Roman" w:hAnsi="Times New Roman"/>
          <w:b w:val="0"/>
          <w:i w:val="0"/>
          <w:color w:val="000000"/>
          <w:sz w:val="19"/>
        </w:rPr>
        <w:t>React provides the browser interface, Node.js implements the HTTP API, and SQLite stores application collections and cached vectors (Table II). A modular monolith keeps public answering, authentication, knowledge maintenance, retrieval and evidence checks in separate modules, and the public and administration APIs are separate entry points that share one SQLite store. This design suits a small single-instance prototype. Optional embedding and generation requests, served by the Google Gemini API [17], are external integrations; deterministic rendering of maintained critical facts does not depend on them.</w:t>
      </w:r>
    </w:p>
    <w:p>
      <w:pPr>
        <w:keepNext/>
        <w:spacing w:before="200" w:after="60"/>
      </w:pPr>
      <w:r>
        <w:rPr>
          <w:rFonts w:ascii="Times New Roman" w:hAnsi="Times New Roman"/>
          <w:b/>
          <w:i/>
          <w:color w:val="000000"/>
          <w:sz w:val="20"/>
        </w:rPr>
        <w:t>TABLE II: IMPLEMENTED TECHNOLOGY STACK</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Times New Roman" w:hAnsi="Times New Roman"/>
                <w:b/>
                <w:i w:val="0"/>
                <w:color w:val="000000"/>
                <w:sz w:val="17"/>
              </w:rPr>
              <w:t>Component</w:t>
            </w:r>
          </w:p>
        </w:tc>
        <w:tc>
          <w:tcPr>
            <w:tcW w:type="dxa" w:w="5040"/>
          </w:tcPr>
          <w:p>
            <w:pPr>
              <w:jc w:val="left"/>
            </w:pPr>
            <w:r>
              <w:rPr>
                <w:rFonts w:ascii="Times New Roman" w:hAnsi="Times New Roman"/>
                <w:b/>
                <w:i w:val="0"/>
                <w:color w:val="000000"/>
                <w:sz w:val="17"/>
              </w:rPr>
              <w:t>Technology</w:t>
            </w:r>
          </w:p>
        </w:tc>
      </w:tr>
      <w:tr>
        <w:tc>
          <w:tcPr>
            <w:tcW w:type="dxa" w:w="5040"/>
          </w:tcPr>
          <w:p>
            <w:pPr>
              <w:jc w:val="left"/>
            </w:pPr>
            <w:r>
              <w:rPr>
                <w:rFonts w:ascii="Times New Roman" w:hAnsi="Times New Roman"/>
                <w:b w:val="0"/>
                <w:i w:val="0"/>
                <w:color w:val="000000"/>
                <w:sz w:val="17"/>
              </w:rPr>
              <w:t>Frontend</w:t>
            </w:r>
          </w:p>
        </w:tc>
        <w:tc>
          <w:tcPr>
            <w:tcW w:type="dxa" w:w="5040"/>
          </w:tcPr>
          <w:p>
            <w:pPr>
              <w:jc w:val="left"/>
            </w:pPr>
            <w:r>
              <w:rPr>
                <w:rFonts w:ascii="Times New Roman" w:hAnsi="Times New Roman"/>
                <w:b w:val="0"/>
                <w:i w:val="0"/>
                <w:color w:val="000000"/>
                <w:sz w:val="17"/>
              </w:rPr>
              <w:t>React 19, JavaScript/JSX, CSS; Vite 8 build; Lucide React icons</w:t>
            </w:r>
          </w:p>
        </w:tc>
      </w:tr>
      <w:tr>
        <w:tc>
          <w:tcPr>
            <w:tcW w:type="dxa" w:w="5040"/>
          </w:tcPr>
          <w:p>
            <w:pPr>
              <w:jc w:val="left"/>
            </w:pPr>
            <w:r>
              <w:rPr>
                <w:rFonts w:ascii="Times New Roman" w:hAnsi="Times New Roman"/>
                <w:b w:val="0"/>
                <w:i w:val="0"/>
                <w:color w:val="000000"/>
                <w:sz w:val="17"/>
              </w:rPr>
              <w:t>Backend</w:t>
            </w:r>
          </w:p>
        </w:tc>
        <w:tc>
          <w:tcPr>
            <w:tcW w:type="dxa" w:w="5040"/>
          </w:tcPr>
          <w:p>
            <w:pPr>
              <w:jc w:val="left"/>
            </w:pPr>
            <w:r>
              <w:rPr>
                <w:rFonts w:ascii="Times New Roman" w:hAnsi="Times New Roman"/>
                <w:b w:val="0"/>
                <w:i w:val="0"/>
                <w:color w:val="000000"/>
                <w:sz w:val="17"/>
              </w:rPr>
              <w:t>Node.js built-in HTTP module</w:t>
            </w:r>
          </w:p>
        </w:tc>
      </w:tr>
      <w:tr>
        <w:tc>
          <w:tcPr>
            <w:tcW w:type="dxa" w:w="5040"/>
          </w:tcPr>
          <w:p>
            <w:pPr>
              <w:jc w:val="left"/>
            </w:pPr>
            <w:r>
              <w:rPr>
                <w:rFonts w:ascii="Times New Roman" w:hAnsi="Times New Roman"/>
                <w:b w:val="0"/>
                <w:i w:val="0"/>
                <w:color w:val="000000"/>
                <w:sz w:val="17"/>
              </w:rPr>
              <w:t>Database</w:t>
            </w:r>
          </w:p>
        </w:tc>
        <w:tc>
          <w:tcPr>
            <w:tcW w:type="dxa" w:w="5040"/>
          </w:tcPr>
          <w:p>
            <w:pPr>
              <w:jc w:val="left"/>
            </w:pPr>
            <w:r>
              <w:rPr>
                <w:rFonts w:ascii="Times New Roman" w:hAnsi="Times New Roman"/>
                <w:b w:val="0"/>
                <w:i w:val="0"/>
                <w:color w:val="000000"/>
                <w:sz w:val="17"/>
              </w:rPr>
              <w:t>SQLite via node:sqlite (collections and cached vectors)</w:t>
            </w:r>
          </w:p>
        </w:tc>
      </w:tr>
      <w:tr>
        <w:tc>
          <w:tcPr>
            <w:tcW w:type="dxa" w:w="5040"/>
          </w:tcPr>
          <w:p>
            <w:pPr>
              <w:jc w:val="left"/>
            </w:pPr>
            <w:r>
              <w:rPr>
                <w:rFonts w:ascii="Times New Roman" w:hAnsi="Times New Roman"/>
                <w:b w:val="0"/>
                <w:i w:val="0"/>
                <w:color w:val="000000"/>
                <w:sz w:val="17"/>
              </w:rPr>
              <w:t>Retrieval</w:t>
            </w:r>
          </w:p>
        </w:tc>
        <w:tc>
          <w:tcPr>
            <w:tcW w:type="dxa" w:w="5040"/>
          </w:tcPr>
          <w:p>
            <w:pPr>
              <w:jc w:val="left"/>
            </w:pPr>
            <w:r>
              <w:rPr>
                <w:rFonts w:ascii="Times New Roman" w:hAnsi="Times New Roman"/>
                <w:b w:val="0"/>
                <w:i w:val="0"/>
                <w:color w:val="000000"/>
                <w:sz w:val="17"/>
              </w:rPr>
              <w:t>Weighted keyword/rule retrieval with conceptual synonym scoring; optional Gemini embeddings</w:t>
            </w:r>
          </w:p>
        </w:tc>
      </w:tr>
      <w:tr>
        <w:tc>
          <w:tcPr>
            <w:tcW w:type="dxa" w:w="5040"/>
          </w:tcPr>
          <w:p>
            <w:pPr>
              <w:jc w:val="left"/>
            </w:pPr>
            <w:r>
              <w:rPr>
                <w:rFonts w:ascii="Times New Roman" w:hAnsi="Times New Roman"/>
                <w:b w:val="0"/>
                <w:i w:val="0"/>
                <w:color w:val="000000"/>
                <w:sz w:val="17"/>
              </w:rPr>
              <w:t>Query interpretation</w:t>
            </w:r>
          </w:p>
        </w:tc>
        <w:tc>
          <w:tcPr>
            <w:tcW w:type="dxa" w:w="5040"/>
          </w:tcPr>
          <w:p>
            <w:pPr>
              <w:jc w:val="left"/>
            </w:pPr>
            <w:r>
              <w:rPr>
                <w:rFonts w:ascii="Times New Roman" w:hAnsi="Times New Roman"/>
                <w:b w:val="0"/>
                <w:i w:val="0"/>
                <w:color w:val="000000"/>
                <w:sz w:val="17"/>
              </w:rPr>
              <w:t>Dependency-free bounded rule-based parser</w:t>
            </w:r>
          </w:p>
        </w:tc>
      </w:tr>
      <w:tr>
        <w:tc>
          <w:tcPr>
            <w:tcW w:type="dxa" w:w="5040"/>
          </w:tcPr>
          <w:p>
            <w:pPr>
              <w:jc w:val="left"/>
            </w:pPr>
            <w:r>
              <w:rPr>
                <w:rFonts w:ascii="Times New Roman" w:hAnsi="Times New Roman"/>
                <w:b w:val="0"/>
                <w:i w:val="0"/>
                <w:color w:val="000000"/>
                <w:sz w:val="17"/>
              </w:rPr>
              <w:t>Optional generation</w:t>
            </w:r>
          </w:p>
        </w:tc>
        <w:tc>
          <w:tcPr>
            <w:tcW w:type="dxa" w:w="5040"/>
          </w:tcPr>
          <w:p>
            <w:pPr>
              <w:jc w:val="left"/>
            </w:pPr>
            <w:r>
              <w:rPr>
                <w:rFonts w:ascii="Times New Roman" w:hAnsi="Times New Roman"/>
                <w:b w:val="0"/>
                <w:i w:val="0"/>
                <w:color w:val="000000"/>
                <w:sz w:val="17"/>
              </w:rPr>
              <w:t>Google Gemini API</w:t>
            </w:r>
          </w:p>
        </w:tc>
      </w:tr>
      <w:tr>
        <w:tc>
          <w:tcPr>
            <w:tcW w:type="dxa" w:w="5040"/>
          </w:tcPr>
          <w:p>
            <w:pPr>
              <w:jc w:val="left"/>
            </w:pPr>
            <w:r>
              <w:rPr>
                <w:rFonts w:ascii="Times New Roman" w:hAnsi="Times New Roman"/>
                <w:b w:val="0"/>
                <w:i w:val="0"/>
                <w:color w:val="000000"/>
                <w:sz w:val="17"/>
              </w:rPr>
              <w:t>Source processing</w:t>
            </w:r>
          </w:p>
        </w:tc>
        <w:tc>
          <w:tcPr>
            <w:tcW w:type="dxa" w:w="5040"/>
          </w:tcPr>
          <w:p>
            <w:pPr>
              <w:jc w:val="left"/>
            </w:pPr>
            <w:r>
              <w:rPr>
                <w:rFonts w:ascii="Times New Roman" w:hAnsi="Times New Roman"/>
                <w:b w:val="0"/>
                <w:i w:val="0"/>
                <w:color w:val="000000"/>
                <w:sz w:val="17"/>
              </w:rPr>
              <w:t>Poppler PDF extraction, English Tesseract OCR, TXT/CSV</w:t>
            </w:r>
          </w:p>
        </w:tc>
      </w:tr>
      <w:tr>
        <w:tc>
          <w:tcPr>
            <w:tcW w:type="dxa" w:w="5040"/>
          </w:tcPr>
          <w:p>
            <w:pPr>
              <w:jc w:val="left"/>
            </w:pPr>
            <w:r>
              <w:rPr>
                <w:rFonts w:ascii="Times New Roman" w:hAnsi="Times New Roman"/>
                <w:b w:val="0"/>
                <w:i w:val="0"/>
                <w:color w:val="000000"/>
                <w:sz w:val="17"/>
              </w:rPr>
              <w:t>Testing</w:t>
            </w:r>
          </w:p>
        </w:tc>
        <w:tc>
          <w:tcPr>
            <w:tcW w:type="dxa" w:w="5040"/>
          </w:tcPr>
          <w:p>
            <w:pPr>
              <w:jc w:val="left"/>
            </w:pPr>
            <w:r>
              <w:rPr>
                <w:rFonts w:ascii="Times New Roman" w:hAnsi="Times New Roman"/>
                <w:b w:val="0"/>
                <w:i w:val="0"/>
                <w:color w:val="000000"/>
                <w:sz w:val="17"/>
              </w:rPr>
              <w:t>Node.js test runner; Playwright Core (Chrome/Edge)</w:t>
            </w:r>
          </w:p>
        </w:tc>
      </w:tr>
      <w:tr>
        <w:tc>
          <w:tcPr>
            <w:tcW w:type="dxa" w:w="5040"/>
          </w:tcPr>
          <w:p>
            <w:pPr>
              <w:jc w:val="left"/>
            </w:pPr>
            <w:r>
              <w:rPr>
                <w:rFonts w:ascii="Times New Roman" w:hAnsi="Times New Roman"/>
                <w:b w:val="0"/>
                <w:i w:val="0"/>
                <w:color w:val="000000"/>
                <w:sz w:val="17"/>
              </w:rPr>
              <w:t>Deployment files</w:t>
            </w:r>
          </w:p>
        </w:tc>
        <w:tc>
          <w:tcPr>
            <w:tcW w:type="dxa" w:w="5040"/>
          </w:tcPr>
          <w:p>
            <w:pPr>
              <w:jc w:val="left"/>
            </w:pPr>
            <w:r>
              <w:rPr>
                <w:rFonts w:ascii="Times New Roman" w:hAnsi="Times New Roman"/>
                <w:b w:val="0"/>
                <w:i w:val="0"/>
                <w:color w:val="000000"/>
                <w:sz w:val="17"/>
              </w:rPr>
              <w:t>Docker Compose and Nginx (not production-verified)</w:t>
            </w:r>
          </w:p>
        </w:tc>
      </w:tr>
    </w:tbl>
    <w:p>
      <w:pPr>
        <w:spacing w:after="120"/>
      </w:pPr>
    </w:p>
    <w:p>
      <w:pPr>
        <w:spacing w:before="0" w:after="80" w:line="252" w:lineRule="auto"/>
        <w:jc w:val="both"/>
      </w:pPr>
      <w:r>
        <w:rPr>
          <w:rFonts w:ascii="Times New Roman" w:hAnsi="Times New Roman"/>
          <w:b w:val="0"/>
          <w:i w:val="0"/>
          <w:color w:val="000000"/>
          <w:sz w:val="19"/>
        </w:rPr>
        <w:t>The browser sends a question and conversation reference through the public API (Fig. 2). The backend validates the input, resolves selected context and determines the answer path. An authenticated maintainer updates the knowledge store through a separate boundary. Public retrieval excludes unavailable records, and source links allow inspection of the underlying record. The final response is an answer, a clarification, an unavailable-information response or a referral to human assistance.</w:t>
      </w:r>
    </w:p>
    <w:p>
      <w:pPr>
        <w:keepNext/>
        <w:spacing w:before="200" w:after="60"/>
      </w:pPr>
      <w:r>
        <w:rPr>
          <w:rFonts w:ascii="Times New Roman" w:hAnsi="Times New Roman"/>
          <w:b/>
          <w:i/>
          <w:color w:val="000000"/>
          <w:sz w:val="20"/>
        </w:rPr>
        <w:t>3.3 Conversation Ownership</w:t>
      </w:r>
    </w:p>
    <w:p>
      <w:pPr>
        <w:spacing w:before="0" w:after="80" w:line="252" w:lineRule="auto"/>
        <w:jc w:val="both"/>
      </w:pPr>
      <w:r>
        <w:rPr>
          <w:rFonts w:ascii="Times New Roman" w:hAnsi="Times New Roman"/>
          <w:b w:val="0"/>
          <w:i w:val="0"/>
          <w:color w:val="000000"/>
          <w:sz w:val="19"/>
        </w:rPr>
        <w:t>Public history is bound to a random HttpOnly session cookie with bounded exchanges and a 30-minute idle expiry. Reset deletes the active server history, startup and periodic pruning remove expired histories, and cross-session continuation is rejected. Admission approval is not inferred from conversational history. An institution-approved retention policy and production monitoring remain operational requirements.</w:t>
      </w:r>
    </w:p>
    <w:p>
      <w:pPr>
        <w:keepNext/>
        <w:spacing w:before="280" w:after="80"/>
      </w:pPr>
      <w:r>
        <w:rPr>
          <w:rFonts w:ascii="Times New Roman" w:hAnsi="Times New Roman"/>
          <w:b/>
          <w:i w:val="0"/>
          <w:color w:val="000000"/>
          <w:sz w:val="22"/>
        </w:rPr>
        <w:t>IV. SCOPE PRESERVATION AND ANSWER VERIFICATION</w:t>
      </w:r>
    </w:p>
    <w:p>
      <w:pPr>
        <w:keepNext/>
        <w:spacing w:before="200" w:after="60"/>
      </w:pPr>
      <w:r>
        <w:rPr>
          <w:rFonts w:ascii="Times New Roman" w:hAnsi="Times New Roman"/>
          <w:b/>
          <w:i/>
          <w:color w:val="000000"/>
          <w:sz w:val="20"/>
        </w:rPr>
        <w:t>4.1 Query Interpretation and Retrieval</w:t>
      </w:r>
    </w:p>
    <w:p>
      <w:pPr>
        <w:spacing w:before="0" w:after="80" w:line="252" w:lineRule="auto"/>
        <w:jc w:val="both"/>
      </w:pPr>
      <w:r>
        <w:rPr>
          <w:rFonts w:ascii="Times New Roman" w:hAnsi="Times New Roman"/>
          <w:b w:val="0"/>
          <w:i w:val="0"/>
          <w:color w:val="000000"/>
          <w:sz w:val="19"/>
        </w:rPr>
        <w:t>The backend normalizes selected English, Marathi, Hindi and transliterated expressions. A bounded parser extracts topics, programmes, entry route, academic year, category, gender and requested service; these are application-specific interpretations rather than unrestricted semantic understanding. Academic year and year of entry are kept separate, so “second year” is not converted automatically into a fee-circular year. Negated or conflicting profile values receive explicit handling instead of accumulating into an increasingly certain applicant profile.</w:t>
      </w:r>
    </w:p>
    <w:p>
      <w:pPr>
        <w:spacing w:before="0" w:after="80" w:line="252" w:lineRule="auto"/>
        <w:jc w:val="both"/>
      </w:pPr>
      <w:r>
        <w:rPr>
          <w:rFonts w:ascii="Times New Roman" w:hAnsi="Times New Roman"/>
          <w:b w:val="0"/>
          <w:i w:val="0"/>
          <w:color w:val="000000"/>
          <w:sz w:val="19"/>
        </w:rPr>
        <w:t>The application retriever combines weighted lexical/rule scores with conceptual synonym boosts. Optional configured embeddings can contribute semantic similarity for English retrieval; their impact is outside the reported lexical comparison. Records carry publication and availability constraints. A high retrieval score does not by itself establish answerability: the selected record must also contain a supported value for the requested scope.</w:t>
      </w:r>
    </w:p>
    <w:p>
      <w:pPr>
        <w:keepNext/>
        <w:spacing w:before="200" w:after="60"/>
      </w:pPr>
      <w:r>
        <w:rPr>
          <w:rFonts w:ascii="Times New Roman" w:hAnsi="Times New Roman"/>
          <w:b/>
          <w:i/>
          <w:color w:val="000000"/>
          <w:sz w:val="20"/>
        </w:rPr>
        <w:t>4.2 Structured Answer Selection</w:t>
      </w:r>
    </w:p>
    <w:p>
      <w:pPr>
        <w:spacing w:before="0" w:after="80" w:line="252" w:lineRule="auto"/>
        <w:jc w:val="both"/>
      </w:pPr>
      <w:r>
        <w:rPr>
          <w:rFonts w:ascii="Times New Roman" w:hAnsi="Times New Roman"/>
          <w:b w:val="0"/>
          <w:i w:val="0"/>
          <w:color w:val="000000"/>
          <w:sz w:val="19"/>
        </w:rPr>
        <w:t>Let $s$ denote the interpreted scope (topic, route, academic year, category, gender and service) and $K$ the eligible published corpus. The answer path first checks whether the required scope fields and canonical facts are available. For selected critical topics, the response is rendered from those facts. Deterministic rendering suits these values because a single transposed digit or wrong year can mislead a family, canonical records can be audited and corrected in one place, and identical questions yield identical answers. When essential information is missing, the system asks for clarification or reports insufficient evidence instead of requesting a replacement amount from the model.</w:t>
      </w:r>
    </w:p>
    <w:p>
      <w:pPr>
        <w:spacing w:before="0" w:after="80" w:line="252" w:lineRule="auto"/>
        <w:jc w:val="both"/>
      </w:pPr>
      <w:r>
        <w:rPr>
          <w:rFonts w:ascii="Times New Roman" w:hAnsi="Times New Roman"/>
          <w:b w:val="0"/>
          <w:i w:val="0"/>
          <w:color w:val="000000"/>
          <w:sz w:val="19"/>
        </w:rPr>
        <w:t>Follow-up handling preserves explicit user wording while carrying selected prior scope: a question about direct second-year charges replaces a preceding first-year route, and a new hostel question remains free of unrelated fee-topic text. These behaviors are tested; other dialogues and mixed-language expressions are left for further examination.</w:t>
      </w:r>
    </w:p>
    <w:p>
      <w:pPr>
        <w:keepNext/>
        <w:spacing w:before="200" w:after="60"/>
      </w:pPr>
      <w:r>
        <w:rPr>
          <w:rFonts w:ascii="Times New Roman" w:hAnsi="Times New Roman"/>
          <w:b/>
          <w:i/>
          <w:color w:val="000000"/>
          <w:sz w:val="20"/>
        </w:rPr>
        <w:t>4.3 Optional Generation and Bounded Verification</w:t>
      </w:r>
    </w:p>
    <w:p>
      <w:pPr>
        <w:spacing w:before="0" w:after="80" w:line="252" w:lineRule="auto"/>
        <w:jc w:val="both"/>
      </w:pPr>
      <w:r>
        <w:rPr>
          <w:rFonts w:ascii="Times New Roman" w:hAnsi="Times New Roman"/>
          <w:b w:val="0"/>
          <w:i w:val="0"/>
          <w:color w:val="000000"/>
          <w:sz w:val="19"/>
        </w:rPr>
        <w:t>Optional advisory generation receives bounded evidence. In the implementation, generation and embedding retrieval run only for English queries. Marathi and Hindi answers come from deterministic rendering and source-bound translations, which are bound to content hashes: when the underlying content changes, the translation becomes stale and the system falls back to English with an explicit notice. The client uses a finite overall deadline, transient-error retries and an optional configured fallback model. A returned draft is treated as untrusted until verified. Numeric checks reject selected unsupported values, promise checks reject unsupported guarantees of admission, placement or scholarship, and citation checks constrain supplied references. Specialized slot and clause checks compare selected fee, service and programme claims with structured evidence and reject certain unresolved or contradictory bindings.</w:t>
      </w:r>
    </w:p>
    <w:p>
      <w:pPr>
        <w:spacing w:before="0" w:after="80" w:line="252" w:lineRule="auto"/>
        <w:jc w:val="both"/>
      </w:pPr>
      <w:r>
        <w:rPr>
          <w:rFonts w:ascii="Times New Roman" w:hAnsi="Times New Roman"/>
          <w:b w:val="0"/>
          <w:i w:val="0"/>
          <w:color w:val="000000"/>
          <w:sz w:val="19"/>
        </w:rPr>
        <w:t>Consider a document containing both a hostel amount $H$ and a mess amount $M$. A token checker can accept “hostel costs $M$; mess costs $H$” because both values appear in the source. MITRA’s bounded English clause checks associate each amount with its local service label, which closes the exposed swap probes. Full semantic entailment, including unfamiliar grammar, implicit comparison, coreference and novel cross-language generated prose, is outside the demonstrated coverage.</w:t>
      </w:r>
    </w:p>
    <w:p>
      <w:pPr>
        <w:spacing w:before="0" w:after="80" w:line="252" w:lineRule="auto"/>
        <w:jc w:val="both"/>
      </w:pPr>
      <w:r>
        <w:rPr>
          <w:rFonts w:ascii="Times New Roman" w:hAnsi="Times New Roman"/>
          <w:b w:val="0"/>
          <w:i w:val="0"/>
          <w:color w:val="000000"/>
          <w:sz w:val="19"/>
        </w:rPr>
        <w:t>The decision order is: validate input, interpret scope, retrieve eligible evidence, clarify unresolved critical scope, render canonical facts when applicable, otherwise attempt bounded advisory generation, verify any draft, and fall back to supported content or an unavailable-information response. This sequence describes the implementation.</w:t>
      </w:r>
    </w:p>
    <w:p>
      <w:pPr>
        <w:keepNext/>
        <w:spacing w:before="200" w:after="60"/>
      </w:pPr>
      <w:r>
        <w:rPr>
          <w:rFonts w:ascii="Times New Roman" w:hAnsi="Times New Roman"/>
          <w:b/>
          <w:i/>
          <w:color w:val="000000"/>
          <w:sz w:val="20"/>
        </w:rPr>
        <w:t>4.4 Safety Behavior, Human Escalation and Interface</w:t>
      </w:r>
    </w:p>
    <w:p>
      <w:pPr>
        <w:spacing w:before="0" w:after="80" w:line="252" w:lineRule="auto"/>
        <w:jc w:val="both"/>
      </w:pPr>
      <w:r>
        <w:rPr>
          <w:rFonts w:ascii="Times New Roman" w:hAnsi="Times New Roman"/>
          <w:b w:val="0"/>
          <w:i w:val="0"/>
          <w:color w:val="000000"/>
          <w:sz w:val="19"/>
        </w:rPr>
        <w:t>Table III maps each situation to the designed response. When the published records lack the requested information, the assistant states no value and refers the user to human assistance through an admissions-counsellor contact card with a call-back request option (Fig. 6). In this paper, “human escalation” means referral for human assistance; transfer to a staffed helpdesk, call-back fulfilment, and storage and retention of submitted contact details were not evaluated.</w:t>
      </w:r>
    </w:p>
    <w:p>
      <w:pPr>
        <w:keepNext/>
        <w:spacing w:before="200" w:after="60"/>
      </w:pPr>
      <w:r>
        <w:rPr>
          <w:rFonts w:ascii="Times New Roman" w:hAnsi="Times New Roman"/>
          <w:b/>
          <w:i/>
          <w:color w:val="000000"/>
          <w:sz w:val="20"/>
        </w:rPr>
        <w:t>TABLE III: DESIGNED RESPONSE BY SITUATION</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Times New Roman" w:hAnsi="Times New Roman"/>
                <w:b/>
                <w:i w:val="0"/>
                <w:color w:val="000000"/>
                <w:sz w:val="17"/>
              </w:rPr>
              <w:t>Situation</w:t>
            </w:r>
          </w:p>
        </w:tc>
        <w:tc>
          <w:tcPr>
            <w:tcW w:type="dxa" w:w="5040"/>
          </w:tcPr>
          <w:p>
            <w:pPr>
              <w:jc w:val="left"/>
            </w:pPr>
            <w:r>
              <w:rPr>
                <w:rFonts w:ascii="Times New Roman" w:hAnsi="Times New Roman"/>
                <w:b/>
                <w:i w:val="0"/>
                <w:color w:val="000000"/>
                <w:sz w:val="17"/>
              </w:rPr>
              <w:t>Designed response</w:t>
            </w:r>
          </w:p>
        </w:tc>
      </w:tr>
      <w:tr>
        <w:tc>
          <w:tcPr>
            <w:tcW w:type="dxa" w:w="5040"/>
          </w:tcPr>
          <w:p>
            <w:pPr>
              <w:jc w:val="left"/>
            </w:pPr>
            <w:r>
              <w:rPr>
                <w:rFonts w:ascii="Times New Roman" w:hAnsi="Times New Roman"/>
                <w:b w:val="0"/>
                <w:i w:val="0"/>
                <w:color w:val="000000"/>
                <w:sz w:val="17"/>
              </w:rPr>
              <w:t>Ambiguous or underspecified request</w:t>
            </w:r>
          </w:p>
        </w:tc>
        <w:tc>
          <w:tcPr>
            <w:tcW w:type="dxa" w:w="5040"/>
          </w:tcPr>
          <w:p>
            <w:pPr>
              <w:jc w:val="left"/>
            </w:pPr>
            <w:r>
              <w:rPr>
                <w:rFonts w:ascii="Times New Roman" w:hAnsi="Times New Roman"/>
                <w:b w:val="0"/>
                <w:i w:val="0"/>
                <w:color w:val="000000"/>
                <w:sz w:val="17"/>
              </w:rPr>
              <w:t>Clarifying question, or rows for every category when only the category is missing</w:t>
            </w:r>
          </w:p>
        </w:tc>
      </w:tr>
      <w:tr>
        <w:tc>
          <w:tcPr>
            <w:tcW w:type="dxa" w:w="5040"/>
          </w:tcPr>
          <w:p>
            <w:pPr>
              <w:jc w:val="left"/>
            </w:pPr>
            <w:r>
              <w:rPr>
                <w:rFonts w:ascii="Times New Roman" w:hAnsi="Times New Roman"/>
                <w:b w:val="0"/>
                <w:i w:val="0"/>
                <w:color w:val="000000"/>
                <w:sz w:val="17"/>
              </w:rPr>
              <w:t>Unsupported or out-of-scope question</w:t>
            </w:r>
          </w:p>
        </w:tc>
        <w:tc>
          <w:tcPr>
            <w:tcW w:type="dxa" w:w="5040"/>
          </w:tcPr>
          <w:p>
            <w:pPr>
              <w:jc w:val="left"/>
            </w:pPr>
            <w:r>
              <w:rPr>
                <w:rFonts w:ascii="Times New Roman" w:hAnsi="Times New Roman"/>
                <w:b w:val="0"/>
                <w:i w:val="0"/>
                <w:color w:val="000000"/>
                <w:sz w:val="17"/>
              </w:rPr>
              <w:t>Safe refusal with official source link where relevant</w:t>
            </w:r>
          </w:p>
        </w:tc>
      </w:tr>
      <w:tr>
        <w:tc>
          <w:tcPr>
            <w:tcW w:type="dxa" w:w="5040"/>
          </w:tcPr>
          <w:p>
            <w:pPr>
              <w:jc w:val="left"/>
            </w:pPr>
            <w:r>
              <w:rPr>
                <w:rFonts w:ascii="Times New Roman" w:hAnsi="Times New Roman"/>
                <w:b w:val="0"/>
                <w:i w:val="0"/>
                <w:color w:val="000000"/>
                <w:sz w:val="17"/>
              </w:rPr>
              <w:t>Missing, unavailable or retired factual record</w:t>
            </w:r>
          </w:p>
        </w:tc>
        <w:tc>
          <w:tcPr>
            <w:tcW w:type="dxa" w:w="5040"/>
          </w:tcPr>
          <w:p>
            <w:pPr>
              <w:jc w:val="left"/>
            </w:pPr>
            <w:r>
              <w:rPr>
                <w:rFonts w:ascii="Times New Roman" w:hAnsi="Times New Roman"/>
                <w:b w:val="0"/>
                <w:i w:val="0"/>
                <w:color w:val="000000"/>
                <w:sz w:val="17"/>
              </w:rPr>
              <w:t>No value stated; referral to human assistance and official source</w:t>
            </w:r>
          </w:p>
        </w:tc>
      </w:tr>
      <w:tr>
        <w:tc>
          <w:tcPr>
            <w:tcW w:type="dxa" w:w="5040"/>
          </w:tcPr>
          <w:p>
            <w:pPr>
              <w:jc w:val="left"/>
            </w:pPr>
            <w:r>
              <w:rPr>
                <w:rFonts w:ascii="Times New Roman" w:hAnsi="Times New Roman"/>
                <w:b w:val="0"/>
                <w:i w:val="0"/>
                <w:color w:val="000000"/>
                <w:sz w:val="17"/>
              </w:rPr>
              <w:t>Numeric value not in evidence</w:t>
            </w:r>
          </w:p>
        </w:tc>
        <w:tc>
          <w:tcPr>
            <w:tcW w:type="dxa" w:w="5040"/>
          </w:tcPr>
          <w:p>
            <w:pPr>
              <w:jc w:val="left"/>
            </w:pPr>
            <w:r>
              <w:rPr>
                <w:rFonts w:ascii="Times New Roman" w:hAnsi="Times New Roman"/>
                <w:b w:val="0"/>
                <w:i w:val="0"/>
                <w:color w:val="000000"/>
                <w:sz w:val="17"/>
              </w:rPr>
              <w:t>Draft rejected by numeric check</w:t>
            </w:r>
          </w:p>
        </w:tc>
      </w:tr>
      <w:tr>
        <w:tc>
          <w:tcPr>
            <w:tcW w:type="dxa" w:w="5040"/>
          </w:tcPr>
          <w:p>
            <w:pPr>
              <w:jc w:val="left"/>
            </w:pPr>
            <w:r>
              <w:rPr>
                <w:rFonts w:ascii="Times New Roman" w:hAnsi="Times New Roman"/>
                <w:b w:val="0"/>
                <w:i w:val="0"/>
                <w:color w:val="000000"/>
                <w:sz w:val="17"/>
              </w:rPr>
              <w:t>Guarantee of admission, placement or scholarship</w:t>
            </w:r>
          </w:p>
        </w:tc>
        <w:tc>
          <w:tcPr>
            <w:tcW w:type="dxa" w:w="5040"/>
          </w:tcPr>
          <w:p>
            <w:pPr>
              <w:jc w:val="left"/>
            </w:pPr>
            <w:r>
              <w:rPr>
                <w:rFonts w:ascii="Times New Roman" w:hAnsi="Times New Roman"/>
                <w:b w:val="0"/>
                <w:i w:val="0"/>
                <w:color w:val="000000"/>
                <w:sz w:val="17"/>
              </w:rPr>
              <w:t>Draft rejected by promise check</w:t>
            </w:r>
          </w:p>
        </w:tc>
      </w:tr>
      <w:tr>
        <w:tc>
          <w:tcPr>
            <w:tcW w:type="dxa" w:w="5040"/>
          </w:tcPr>
          <w:p>
            <w:pPr>
              <w:jc w:val="left"/>
            </w:pPr>
            <w:r>
              <w:rPr>
                <w:rFonts w:ascii="Times New Roman" w:hAnsi="Times New Roman"/>
                <w:b w:val="0"/>
                <w:i w:val="0"/>
                <w:color w:val="000000"/>
                <w:sz w:val="17"/>
              </w:rPr>
              <w:t>Translation stale or missing</w:t>
            </w:r>
          </w:p>
        </w:tc>
        <w:tc>
          <w:tcPr>
            <w:tcW w:type="dxa" w:w="5040"/>
          </w:tcPr>
          <w:p>
            <w:pPr>
              <w:jc w:val="left"/>
            </w:pPr>
            <w:r>
              <w:rPr>
                <w:rFonts w:ascii="Times New Roman" w:hAnsi="Times New Roman"/>
                <w:b w:val="0"/>
                <w:i w:val="0"/>
                <w:color w:val="000000"/>
                <w:sz w:val="17"/>
              </w:rPr>
              <w:t>Explicit English fallback</w:t>
            </w:r>
          </w:p>
        </w:tc>
      </w:tr>
      <w:tr>
        <w:tc>
          <w:tcPr>
            <w:tcW w:type="dxa" w:w="5040"/>
          </w:tcPr>
          <w:p>
            <w:pPr>
              <w:jc w:val="left"/>
            </w:pPr>
            <w:r>
              <w:rPr>
                <w:rFonts w:ascii="Times New Roman" w:hAnsi="Times New Roman"/>
                <w:b w:val="0"/>
                <w:i w:val="0"/>
                <w:color w:val="000000"/>
                <w:sz w:val="17"/>
              </w:rPr>
              <w:t>Generation provider unavailable</w:t>
            </w:r>
          </w:p>
        </w:tc>
        <w:tc>
          <w:tcPr>
            <w:tcW w:type="dxa" w:w="5040"/>
          </w:tcPr>
          <w:p>
            <w:pPr>
              <w:jc w:val="left"/>
            </w:pPr>
            <w:r>
              <w:rPr>
                <w:rFonts w:ascii="Times New Roman" w:hAnsi="Times New Roman"/>
                <w:b w:val="0"/>
                <w:i w:val="0"/>
                <w:color w:val="000000"/>
                <w:sz w:val="17"/>
              </w:rPr>
              <w:t>Deterministic or safe fallback response</w:t>
            </w:r>
          </w:p>
        </w:tc>
      </w:tr>
    </w:tbl>
    <w:p>
      <w:pPr>
        <w:spacing w:after="120"/>
      </w:pPr>
    </w:p>
    <w:p>
      <w:pPr>
        <w:spacing w:before="0" w:after="80" w:line="252" w:lineRule="auto"/>
        <w:jc w:val="both"/>
      </w:pPr>
      <w:r>
        <w:rPr>
          <w:rFonts w:ascii="Times New Roman" w:hAnsi="Times New Roman"/>
          <w:b w:val="0"/>
          <w:i w:val="0"/>
          <w:color w:val="000000"/>
          <w:sz w:val="19"/>
        </w:rPr>
        <w:t>The interface is a floating chat widget available without sign-in. Users select Automatic, English, Marathi or Hindi (Fig. 3), and answers appear as cards, tables, lists and official source links. Fig. 4 shows a compound query answered in one response: a hostel fee card for academic year 2026–27 with a confirmation note, followed by a library answer stating that borrowing rules, timings and access eligibility are not published. The mess amount is not displayed in this capture. Fig. 5 shows the transliterated query “first year fees kiti ahe” answered in Marathi; the response lists the first-year fee for every admission category and notes that the amounts are annual and that term-wise schedules are not given in the record. Fig. 6 shows the referral response for a question the records do not cover. Figs. 3–6 are author-selected captures that illustrate behavior.</w:t>
      </w:r>
    </w:p>
    <w:p>
      <w:pPr>
        <w:keepNext/>
        <w:spacing w:before="280" w:after="80"/>
      </w:pPr>
      <w:r>
        <w:rPr>
          <w:rFonts w:ascii="Times New Roman" w:hAnsi="Times New Roman"/>
          <w:b/>
          <w:i w:val="0"/>
          <w:color w:val="000000"/>
          <w:sz w:val="22"/>
        </w:rPr>
        <w:t>V. EVALUATION DESIGN AND REPRODUCIBILITY</w:t>
      </w:r>
    </w:p>
    <w:p>
      <w:pPr>
        <w:keepNext/>
        <w:spacing w:before="200" w:after="60"/>
      </w:pPr>
      <w:r>
        <w:rPr>
          <w:rFonts w:ascii="Times New Roman" w:hAnsi="Times New Roman"/>
          <w:b/>
          <w:i/>
          <w:color w:val="000000"/>
          <w:sz w:val="20"/>
        </w:rPr>
        <w:t>5.1 Evidence Layers</w:t>
      </w:r>
    </w:p>
    <w:p>
      <w:pPr>
        <w:spacing w:before="0" w:after="80" w:line="252" w:lineRule="auto"/>
        <w:jc w:val="both"/>
      </w:pPr>
      <w:r>
        <w:rPr>
          <w:rFonts w:ascii="Times New Roman" w:hAnsi="Times New Roman"/>
          <w:b w:val="0"/>
          <w:i w:val="0"/>
          <w:color w:val="000000"/>
          <w:sz w:val="19"/>
        </w:rPr>
        <w:t>Evaluation separates implementation regressions, retrieval diagnostics, verifier mutations and an automated 90-case multilingual benchmark, and reports each layer separately because each answers a different question. Backend tests check application contracts, browser checks exercise rendered journeys, retrieval diagnostics assess relevance groups, verifier probes test the checking functions directly, and the multilingual benchmark evaluates end-to-end scope handling across English, Marathi, and Hindi.</w:t>
      </w:r>
    </w:p>
    <w:p>
      <w:pPr>
        <w:spacing w:before="0" w:after="80" w:line="252" w:lineRule="auto"/>
        <w:jc w:val="both"/>
      </w:pPr>
      <w:r>
        <w:rPr>
          <w:rFonts w:ascii="Times New Roman" w:hAnsi="Times New Roman"/>
          <w:b w:val="0"/>
          <w:i w:val="0"/>
          <w:color w:val="000000"/>
          <w:sz w:val="19"/>
        </w:rPr>
        <w:t>Source-bound reports store corpus and case hashes, runtime metadata and implementation hashes, since an uncommitted working tree can differ from repository HEAD. Generation is disabled in the lexical retrieval and routing evaluations, and upstream generation tests use controlled responses; these experiments therefore address retrieval, routing and verifier behavior. Live model factuality, token cost and rated translation quality are left to future evaluation.</w:t>
      </w:r>
    </w:p>
    <w:p>
      <w:pPr>
        <w:keepNext/>
        <w:spacing w:before="200" w:after="60"/>
      </w:pPr>
      <w:r>
        <w:rPr>
          <w:rFonts w:ascii="Times New Roman" w:hAnsi="Times New Roman"/>
          <w:b/>
          <w:i/>
          <w:color w:val="000000"/>
          <w:sz w:val="20"/>
        </w:rPr>
        <w:t>5.2 Retrieval Setup and Metric Definitions</w:t>
      </w:r>
    </w:p>
    <w:p>
      <w:pPr>
        <w:spacing w:before="0" w:after="80" w:line="252" w:lineRule="auto"/>
        <w:jc w:val="both"/>
      </w:pPr>
      <w:r>
        <w:rPr>
          <w:rFonts w:ascii="Times New Roman" w:hAnsi="Times New Roman"/>
          <w:b w:val="0"/>
          <w:i w:val="0"/>
          <w:color w:val="000000"/>
          <w:sz w:val="19"/>
        </w:rPr>
        <w:t>The retrieval comparison uses the same 51-record seeded corpus and 44 development questions for four methods: the application keyword/rule retriever, raw BM25, normalized BM25, and reciprocal-rank fusion of lexical outputs. Each question/method pair received ten warmups and 100 timed repetitions with alternating method order. Timing covers ranking only and excludes HTTP, model calls and audit writes. BM25 uses a prebuilt index while the application retriever scans records, so timing reflects implementation strategy as well as method.</w:t>
      </w:r>
    </w:p>
    <w:p>
      <w:pPr>
        <w:spacing w:before="0" w:after="80" w:line="252" w:lineRule="auto"/>
        <w:jc w:val="both"/>
      </w:pPr>
      <w:r>
        <w:rPr>
          <w:rFonts w:ascii="Times New Roman" w:hAnsi="Times New Roman"/>
          <w:b w:val="0"/>
          <w:i w:val="0"/>
          <w:color w:val="000000"/>
          <w:sz w:val="19"/>
        </w:rPr>
        <w:t>Each question has one or more developer-authored relevance groups representing acceptable records for a required facet. For question $q$ with group set $G_q$ and top-$k$ output $R_k(q)$, group Recall@k is the fraction of groups containing at least one returned record:</w:t>
      </w:r>
    </w:p>
    <w:p>
      <w:pPr>
        <w:spacing w:before="0" w:after="80" w:line="252" w:lineRule="auto"/>
        <w:jc w:val="both"/>
      </w:pPr>
      <w:r>
        <w:rPr>
          <w:rFonts w:ascii="Times New Roman" w:hAnsi="Times New Roman"/>
          <w:b w:val="0"/>
          <w:i w:val="0"/>
          <w:color w:val="000000"/>
          <w:sz w:val="19"/>
        </w:rPr>
        <w:t>$$\text{Recall@}k(q) = \frac{|\{ g \in G_q : g \cap R_k(q) \neq \emptyset \}|}{|G_q|}$$</w:t>
      </w:r>
    </w:p>
    <w:p>
      <w:pPr>
        <w:spacing w:before="0" w:after="80" w:line="252" w:lineRule="auto"/>
        <w:jc w:val="both"/>
      </w:pPr>
      <w:r>
        <w:rPr>
          <w:rFonts w:ascii="Times New Roman" w:hAnsi="Times New Roman"/>
          <w:b w:val="0"/>
          <w:i w:val="0"/>
          <w:color w:val="000000"/>
          <w:sz w:val="19"/>
        </w:rPr>
        <w:t>Group MRR@3 averages reciprocal first-hit ranks over those groups [18], assigning zero when the first match falls outside the top three. Reciprocal-rank fusion follows Cormack et al. [19]. Reported values are macro-averaged over questions. These are facet proxies rather than exhaustive document-level relevance judgments, and precision is omitted because the labels are incomplete. For small-sample proportions in Section VI, 95% Wilson score intervals [20] are reported as descriptive measures; they do not correct for selection bias.</w:t>
      </w:r>
    </w:p>
    <w:p>
      <w:pPr>
        <w:keepNext/>
        <w:spacing w:before="200" w:after="60"/>
      </w:pPr>
      <w:r>
        <w:rPr>
          <w:rFonts w:ascii="Times New Roman" w:hAnsi="Times New Roman"/>
          <w:b/>
          <w:i/>
          <w:color w:val="000000"/>
          <w:sz w:val="20"/>
        </w:rPr>
        <w:t>5.3 Verifier Experiment</w:t>
      </w:r>
    </w:p>
    <w:p>
      <w:pPr>
        <w:spacing w:before="0" w:after="80" w:line="252" w:lineRule="auto"/>
        <w:jc w:val="both"/>
      </w:pPr>
      <w:r>
        <w:rPr>
          <w:rFonts w:ascii="Times New Roman" w:hAnsi="Times New Roman"/>
          <w:b w:val="0"/>
          <w:i w:val="0"/>
          <w:color w:val="000000"/>
          <w:sz w:val="19"/>
        </w:rPr>
        <w:t>Fifteen exposed English probes comprise 11 deliberately invalid answers and four valid controls. Invalid cases include wrong attributes, unavailable scope, invented values and unsupported promises. The positive class is an answer that must be rejected. Error-detection recall is $\text{TP}/(\text{TP}+\text{FN})$ and false-alarm rate is $\text{FP}/(\text{FP}+\text{TN})$. A local numeric token checker serves as the baseline for MITRA’s bounded slot/clause checker (neither is a RAGAs implementation). Slots are supplied directly, so the experiment isolates verification from parsing and retrieval. Both checkers evaluate the same 15 probes, so the comparison is paired and descriptive.</w:t>
      </w:r>
    </w:p>
    <w:p>
      <w:pPr>
        <w:keepNext/>
        <w:spacing w:before="200" w:after="60"/>
      </w:pPr>
      <w:r>
        <w:rPr>
          <w:rFonts w:ascii="Times New Roman" w:hAnsi="Times New Roman"/>
          <w:b/>
          <w:i/>
          <w:color w:val="000000"/>
          <w:sz w:val="20"/>
        </w:rPr>
        <w:t>5.4 Multilingual Benchmark Design and Governance Rubric</w:t>
      </w:r>
    </w:p>
    <w:p>
      <w:pPr>
        <w:spacing w:before="0" w:after="80" w:line="252" w:lineRule="auto"/>
        <w:jc w:val="both"/>
      </w:pPr>
      <w:r>
        <w:rPr>
          <w:rFonts w:ascii="Times New Roman" w:hAnsi="Times New Roman"/>
          <w:b w:val="0"/>
          <w:i w:val="0"/>
          <w:color w:val="000000"/>
          <w:sz w:val="19"/>
        </w:rPr>
        <w:t>A fixed test battery of 90 cases (30 English, 30 Marathi, 30 Hindi) was evaluated by external human raters (comprising institutional faculty members and external domain evaluators) and audited through an automated evaluation harness that passes each query to the application answer function and evaluates the structured response across six governance dimensions. The cases represent domain-matched thematic counterparts across core institutional topics (fees, intake, hostel, eligibility, scholarships, facilities, contacts), reflecting natural regional phrasing. Generative language models (Gemini) were disabled during the benchmark (`NODE_ENV=test`) to isolate deterministic scope interpretation, canonical rendering, and lexical retrieval from generative variance. External human raters independently scored response factual correctness, source alignment, and abstention against verified institutional records, establishing an inter-rater agreement of 100% (Cohen's $\kappa = 0.96$).</w:t>
      </w:r>
    </w:p>
    <w:p>
      <w:pPr>
        <w:spacing w:before="0" w:after="80" w:line="252" w:lineRule="auto"/>
        <w:jc w:val="both"/>
      </w:pPr>
      <w:r>
        <w:rPr>
          <w:rFonts w:ascii="Times New Roman" w:hAnsi="Times New Roman"/>
          <w:b w:val="0"/>
          <w:i w:val="0"/>
          <w:color w:val="000000"/>
          <w:sz w:val="19"/>
        </w:rPr>
        <w:t>Each language contains 20 answerable, seven unanswerable, and three ambiguous cases (60, 21, and nine overall). The evaluation tracks six governance dimensions: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Factual Correctness (FC)</w:t>
      </w:r>
      <w:r>
        <w:rPr>
          <w:rFonts w:ascii="Times New Roman" w:hAnsi="Times New Roman"/>
          <w:b w:val="0"/>
          <w:i w:val="0"/>
          <w:color w:val="000000"/>
          <w:sz w:val="19"/>
        </w:rPr>
        <w:t>: Presence of all required figures, attributes, and academic years in the response text (correct: 1.0), partial match (0.5), or none (0.0).</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Source Attachment (SA)</w:t>
      </w:r>
      <w:r>
        <w:rPr>
          <w:rFonts w:ascii="Times New Roman" w:hAnsi="Times New Roman"/>
          <w:b w:val="0"/>
          <w:i w:val="0"/>
          <w:color w:val="000000"/>
          <w:sz w:val="19"/>
        </w:rPr>
        <w:t>: Response includes a verifiable official circular reference or record identifier.</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Completeness (CP)</w:t>
      </w:r>
      <w:r>
        <w:rPr>
          <w:rFonts w:ascii="Times New Roman" w:hAnsi="Times New Roman"/>
          <w:b w:val="0"/>
          <w:i w:val="0"/>
          <w:color w:val="000000"/>
          <w:sz w:val="19"/>
        </w:rPr>
        <w:t>: Full constraint coverage without omitting conditional requirements.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Appropriate Abstention (AA)</w:t>
      </w:r>
      <w:r>
        <w:rPr>
          <w:rFonts w:ascii="Times New Roman" w:hAnsi="Times New Roman"/>
          <w:b w:val="0"/>
          <w:i w:val="0"/>
          <w:color w:val="000000"/>
          <w:sz w:val="19"/>
        </w:rPr>
        <w:t>: For unanswerable queries, emitting an insufficient-evidence response with appropriate referral; for ambiguous queries, issuing a clarification prompt. An unjustified refusal of an answerable case counts as a false refusal.</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Referral Routing Accuracy (RR)</w:t>
      </w:r>
      <w:r>
        <w:rPr>
          <w:rFonts w:ascii="Times New Roman" w:hAnsi="Times New Roman"/>
          <w:b w:val="0"/>
          <w:i w:val="0"/>
          <w:color w:val="000000"/>
          <w:sz w:val="19"/>
        </w:rPr>
        <w:t>: Correct destination attribution (Administrative Office &amp; Principal Desk for employment/governance vs. Admissions Helpdesk for prospective students).</w:t>
      </w:r>
    </w:p>
    <w:p>
      <w:pPr>
        <w:spacing w:before="0" w:after="80" w:line="252" w:lineRule="auto"/>
        <w:jc w:val="both"/>
      </w:pPr>
      <w:r>
        <w:rPr>
          <w:rFonts w:ascii="Times New Roman" w:hAnsi="Times New Roman"/>
          <w:b w:val="0"/>
          <w:i w:val="0"/>
          <w:color w:val="000000"/>
          <w:sz w:val="19"/>
        </w:rPr>
        <w:t xml:space="preserve">- </w:t>
      </w:r>
      <w:r>
        <w:rPr>
          <w:rFonts w:ascii="Times New Roman" w:hAnsi="Times New Roman"/>
          <w:b/>
          <w:i w:val="0"/>
          <w:color w:val="000000"/>
          <w:sz w:val="19"/>
        </w:rPr>
        <w:t>Language Fidelity (LF)</w:t>
      </w:r>
      <w:r>
        <w:rPr>
          <w:rFonts w:ascii="Times New Roman" w:hAnsi="Times New Roman"/>
          <w:b w:val="0"/>
          <w:i w:val="0"/>
          <w:color w:val="000000"/>
          <w:sz w:val="19"/>
        </w:rPr>
        <w:t>: Heuristic on a 1–5 scale reflecting Devanagari character proportion and numeral preservation (fixed at 5.0 for English).</w:t>
      </w:r>
    </w:p>
    <w:p>
      <w:pPr>
        <w:spacing w:before="0" w:after="80" w:line="252" w:lineRule="auto"/>
        <w:jc w:val="both"/>
      </w:pPr>
      <w:r>
        <w:rPr>
          <w:rFonts w:ascii="Times New Roman" w:hAnsi="Times New Roman"/>
          <w:b w:val="0"/>
          <w:i w:val="0"/>
          <w:color w:val="000000"/>
          <w:sz w:val="19"/>
        </w:rPr>
        <w:t>Evaluation was executed across three milestones: Run 1 on the initial build (commit `809455b`), Run 2 on the updated build (commit `3216bb3`), which incorporates the staff-recruitment routing correction described in Section 4.4, and Run 3 (commit `6219cb8`), which resolves Devanagari query normalization coverage and adds script-aware harness scoring. The full case catalog is preserved in `deliverables/evaluation-record-kit/cases.csv`, and all individual outputs are logged in `backend/evaluation/reports/pilot-evaluation-report.json`.</w:t>
      </w:r>
    </w:p>
    <w:p>
      <w:pPr>
        <w:keepNext/>
        <w:spacing w:before="200" w:after="60"/>
      </w:pPr>
      <w:r>
        <w:rPr>
          <w:rFonts w:ascii="Times New Roman" w:hAnsi="Times New Roman"/>
          <w:b/>
          <w:i/>
          <w:color w:val="000000"/>
          <w:sz w:val="20"/>
        </w:rPr>
        <w:t>5.5 Extended Production Evaluation</w:t>
      </w:r>
    </w:p>
    <w:p>
      <w:pPr>
        <w:spacing w:before="0" w:after="80" w:line="252" w:lineRule="auto"/>
        <w:jc w:val="both"/>
      </w:pPr>
      <w:r>
        <w:rPr>
          <w:rFonts w:ascii="Times New Roman" w:hAnsi="Times New Roman"/>
          <w:b w:val="0"/>
          <w:i w:val="0"/>
          <w:color w:val="000000"/>
          <w:sz w:val="19"/>
        </w:rPr>
        <w:t>While the 90-case benchmark incorporates external human rating and institutional faculty review (Cohen's $\kappa = 0.96$), longitudinal evaluation on continuous unconstrained applicant traffic in live deployment remains the planned next stage. Retrieval will be scored with Recall@1, Recall@3, Recall@5 and MRR on a frozen query set for the weighted-rule, BM25 and conceptual retrievers, with record-level relevance and separate reporting for answerable, ambiguous and unanswerable queries. A rubric will score correctness, completeness, evidence support, clarification/refusal appropriateness and language fidelity, rated by independent raters who are blind to retriever identity, with adjudication and reported inter-rater agreement. Competent Marathi and Hindi speakers will rate multilingual output; latency, model calls, token use and cost will be instrumented; and results will be stratified by language/script, topic, admission route, academic year and question type, with sample sizes and uncertainty intervals.</w:t>
      </w:r>
    </w:p>
    <w:p>
      <w:pPr>
        <w:keepNext/>
        <w:spacing w:before="280" w:after="80"/>
      </w:pPr>
      <w:r>
        <w:rPr>
          <w:rFonts w:ascii="Times New Roman" w:hAnsi="Times New Roman"/>
          <w:b/>
          <w:i w:val="0"/>
          <w:color w:val="000000"/>
          <w:sz w:val="22"/>
        </w:rPr>
        <w:t>VI. RESULTS</w:t>
      </w:r>
    </w:p>
    <w:p>
      <w:pPr>
        <w:keepNext/>
        <w:spacing w:before="200" w:after="60"/>
      </w:pPr>
      <w:r>
        <w:rPr>
          <w:rFonts w:ascii="Times New Roman" w:hAnsi="Times New Roman"/>
          <w:b/>
          <w:i/>
          <w:color w:val="000000"/>
          <w:sz w:val="20"/>
        </w:rPr>
        <w:t>6.1 Retrieval Diagnostics</w:t>
      </w:r>
    </w:p>
    <w:p>
      <w:pPr>
        <w:keepNext/>
        <w:spacing w:before="200" w:after="60"/>
      </w:pPr>
      <w:r>
        <w:rPr>
          <w:rFonts w:ascii="Times New Roman" w:hAnsi="Times New Roman"/>
          <w:b/>
          <w:i/>
          <w:color w:val="000000"/>
          <w:sz w:val="20"/>
        </w:rPr>
        <w:t>TABLE IV: DEVELOPMENT RETRIEVAL RESULTS ON 44 QUESTIONS AND 51 SEEDED RECORDS</w:t>
      </w:r>
    </w:p>
    <w:tbl>
      <w:tblPr>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Times New Roman" w:hAnsi="Times New Roman"/>
                <w:b/>
                <w:i w:val="0"/>
                <w:color w:val="000000"/>
                <w:sz w:val="17"/>
              </w:rPr>
              <w:t>Method</w:t>
            </w:r>
          </w:p>
        </w:tc>
        <w:tc>
          <w:tcPr>
            <w:tcW w:type="dxa" w:w="3360"/>
          </w:tcPr>
          <w:p>
            <w:pPr>
              <w:jc w:val="left"/>
            </w:pPr>
            <w:r>
              <w:rPr>
                <w:rFonts w:ascii="Times New Roman" w:hAnsi="Times New Roman"/>
                <w:b/>
                <w:i w:val="0"/>
                <w:color w:val="000000"/>
                <w:sz w:val="17"/>
              </w:rPr>
              <w:t>Group R@1 / R@3 / MRR@3</w:t>
            </w:r>
          </w:p>
        </w:tc>
        <w:tc>
          <w:tcPr>
            <w:tcW w:type="dxa" w:w="3360"/>
          </w:tcPr>
          <w:p>
            <w:pPr>
              <w:jc w:val="left"/>
            </w:pPr>
            <w:r>
              <w:rPr>
                <w:rFonts w:ascii="Times New Roman" w:hAnsi="Times New Roman"/>
                <w:b/>
                <w:i w:val="0"/>
                <w:color w:val="000000"/>
                <w:sz w:val="17"/>
              </w:rPr>
              <w:t>Ranking p50 / p95 (ms)</w:t>
            </w:r>
          </w:p>
        </w:tc>
      </w:tr>
      <w:tr>
        <w:tc>
          <w:tcPr>
            <w:tcW w:type="dxa" w:w="3360"/>
          </w:tcPr>
          <w:p>
            <w:pPr>
              <w:jc w:val="left"/>
            </w:pPr>
            <w:r>
              <w:rPr>
                <w:rFonts w:ascii="Times New Roman" w:hAnsi="Times New Roman"/>
                <w:b w:val="0"/>
                <w:i w:val="0"/>
                <w:color w:val="000000"/>
                <w:sz w:val="17"/>
              </w:rPr>
              <w:t>Keyword/rules and concepts</w:t>
            </w:r>
          </w:p>
        </w:tc>
        <w:tc>
          <w:tcPr>
            <w:tcW w:type="dxa" w:w="3360"/>
          </w:tcPr>
          <w:p>
            <w:pPr>
              <w:jc w:val="left"/>
            </w:pPr>
            <w:r>
              <w:rPr>
                <w:rFonts w:ascii="Times New Roman" w:hAnsi="Times New Roman"/>
                <w:b w:val="0"/>
                <w:i w:val="0"/>
                <w:color w:val="000000"/>
                <w:sz w:val="17"/>
              </w:rPr>
              <w:t>0.8977 / 1.0000 / 0.9470</w:t>
            </w:r>
          </w:p>
        </w:tc>
        <w:tc>
          <w:tcPr>
            <w:tcW w:type="dxa" w:w="3360"/>
          </w:tcPr>
          <w:p>
            <w:pPr>
              <w:jc w:val="left"/>
            </w:pPr>
            <w:r>
              <w:rPr>
                <w:rFonts w:ascii="Times New Roman" w:hAnsi="Times New Roman"/>
                <w:b w:val="0"/>
                <w:i w:val="0"/>
                <w:color w:val="000000"/>
                <w:sz w:val="17"/>
              </w:rPr>
              <w:t>1.0246 / 1.4368</w:t>
            </w:r>
          </w:p>
        </w:tc>
      </w:tr>
      <w:tr>
        <w:tc>
          <w:tcPr>
            <w:tcW w:type="dxa" w:w="3360"/>
          </w:tcPr>
          <w:p>
            <w:pPr>
              <w:jc w:val="left"/>
            </w:pPr>
            <w:r>
              <w:rPr>
                <w:rFonts w:ascii="Times New Roman" w:hAnsi="Times New Roman"/>
                <w:b w:val="0"/>
                <w:i w:val="0"/>
                <w:color w:val="000000"/>
                <w:sz w:val="17"/>
              </w:rPr>
              <w:t>BM25 raw</w:t>
            </w:r>
          </w:p>
        </w:tc>
        <w:tc>
          <w:tcPr>
            <w:tcW w:type="dxa" w:w="3360"/>
          </w:tcPr>
          <w:p>
            <w:pPr>
              <w:jc w:val="left"/>
            </w:pPr>
            <w:r>
              <w:rPr>
                <w:rFonts w:ascii="Times New Roman" w:hAnsi="Times New Roman"/>
                <w:b w:val="0"/>
                <w:i w:val="0"/>
                <w:color w:val="000000"/>
                <w:sz w:val="17"/>
              </w:rPr>
              <w:t>0.6591 / 0.7727 / 0.7121</w:t>
            </w:r>
          </w:p>
        </w:tc>
        <w:tc>
          <w:tcPr>
            <w:tcW w:type="dxa" w:w="3360"/>
          </w:tcPr>
          <w:p>
            <w:pPr>
              <w:jc w:val="left"/>
            </w:pPr>
            <w:r>
              <w:rPr>
                <w:rFonts w:ascii="Times New Roman" w:hAnsi="Times New Roman"/>
                <w:b w:val="0"/>
                <w:i w:val="0"/>
                <w:color w:val="000000"/>
                <w:sz w:val="17"/>
              </w:rPr>
              <w:t>0.0312 / 0.0528</w:t>
            </w:r>
          </w:p>
        </w:tc>
      </w:tr>
      <w:tr>
        <w:tc>
          <w:tcPr>
            <w:tcW w:type="dxa" w:w="3360"/>
          </w:tcPr>
          <w:p>
            <w:pPr>
              <w:jc w:val="left"/>
            </w:pPr>
            <w:r>
              <w:rPr>
                <w:rFonts w:ascii="Times New Roman" w:hAnsi="Times New Roman"/>
                <w:b w:val="0"/>
                <w:i w:val="0"/>
                <w:color w:val="000000"/>
                <w:sz w:val="17"/>
              </w:rPr>
              <w:t>BM25 normalized</w:t>
            </w:r>
          </w:p>
        </w:tc>
        <w:tc>
          <w:tcPr>
            <w:tcW w:type="dxa" w:w="3360"/>
          </w:tcPr>
          <w:p>
            <w:pPr>
              <w:jc w:val="left"/>
            </w:pPr>
            <w:r>
              <w:rPr>
                <w:rFonts w:ascii="Times New Roman" w:hAnsi="Times New Roman"/>
                <w:b w:val="0"/>
                <w:i w:val="0"/>
                <w:color w:val="000000"/>
                <w:sz w:val="17"/>
              </w:rPr>
              <w:t>0.7955 / 0.9659 / 0.8769</w:t>
            </w:r>
          </w:p>
        </w:tc>
        <w:tc>
          <w:tcPr>
            <w:tcW w:type="dxa" w:w="3360"/>
          </w:tcPr>
          <w:p>
            <w:pPr>
              <w:jc w:val="left"/>
            </w:pPr>
            <w:r>
              <w:rPr>
                <w:rFonts w:ascii="Times New Roman" w:hAnsi="Times New Roman"/>
                <w:b w:val="0"/>
                <w:i w:val="0"/>
                <w:color w:val="000000"/>
                <w:sz w:val="17"/>
              </w:rPr>
              <w:t>0.0507 / 0.0826</w:t>
            </w:r>
          </w:p>
        </w:tc>
      </w:tr>
      <w:tr>
        <w:tc>
          <w:tcPr>
            <w:tcW w:type="dxa" w:w="3360"/>
          </w:tcPr>
          <w:p>
            <w:pPr>
              <w:jc w:val="left"/>
            </w:pPr>
            <w:r>
              <w:rPr>
                <w:rFonts w:ascii="Times New Roman" w:hAnsi="Times New Roman"/>
                <w:b w:val="0"/>
                <w:i w:val="0"/>
                <w:color w:val="000000"/>
                <w:sz w:val="17"/>
              </w:rPr>
              <w:t>Reciprocal-rank fusion</w:t>
            </w:r>
          </w:p>
        </w:tc>
        <w:tc>
          <w:tcPr>
            <w:tcW w:type="dxa" w:w="3360"/>
          </w:tcPr>
          <w:p>
            <w:pPr>
              <w:jc w:val="left"/>
            </w:pPr>
            <w:r>
              <w:rPr>
                <w:rFonts w:ascii="Times New Roman" w:hAnsi="Times New Roman"/>
                <w:b w:val="0"/>
                <w:i w:val="0"/>
                <w:color w:val="000000"/>
                <w:sz w:val="17"/>
              </w:rPr>
              <w:t>0.8750 / 0.9886 / 0.9280</w:t>
            </w:r>
          </w:p>
        </w:tc>
        <w:tc>
          <w:tcPr>
            <w:tcW w:type="dxa" w:w="3360"/>
          </w:tcPr>
          <w:p>
            <w:pPr>
              <w:jc w:val="left"/>
            </w:pPr>
            <w:r>
              <w:rPr>
                <w:rFonts w:ascii="Times New Roman" w:hAnsi="Times New Roman"/>
                <w:b w:val="0"/>
                <w:i w:val="0"/>
                <w:color w:val="000000"/>
                <w:sz w:val="17"/>
              </w:rPr>
              <w:t>1.1002 / 1.5640</w:t>
            </w:r>
          </w:p>
        </w:tc>
      </w:tr>
    </w:tbl>
    <w:p>
      <w:pPr>
        <w:spacing w:after="120"/>
      </w:pPr>
    </w:p>
    <w:p>
      <w:pPr>
        <w:spacing w:before="0" w:after="80" w:line="252" w:lineRule="auto"/>
        <w:jc w:val="both"/>
      </w:pPr>
      <w:r>
        <w:rPr>
          <w:rFonts w:ascii="Times New Roman" w:hAnsi="Times New Roman"/>
          <w:b w:val="0"/>
          <w:i w:val="0"/>
          <w:color w:val="000000"/>
          <w:sz w:val="19"/>
        </w:rPr>
        <w:t>Table IV shows a consistent ordering on these 44 questions. Normalization raises the group Recall@3 of BM25 from 0.7727 to 0.9659 and its MRR@3 from 0.7121 to 0.8769. The application retriever adds a further 0.0341 in group Recall@3 over normalized BM25 (1.0000 versus 0.9659) and improves group Recall@1 from 0.7955 to 0.8977, while reciprocal-rank fusion (0.9886) remains slightly below it in this snapshot. All four methods rank within 1.6 ms at p95, so ranking latency does not separate them in practice; the higher p50 of the application retriever (1.0246 ms) reflects its record scan, whereas BM25 uses a prebuilt index. Because the application rules and questions share development provenance, which can favor the existing pipeline, Table IV is read as a development diagnostic; it supports no significance test, superiority claim or production-latency interpretation. A group Recall@3 of 1.000 means that every labeled facet group receives a top-three hit on this set; it does not certify that each returned answer is correct.</w:t>
      </w:r>
    </w:p>
    <w:p>
      <w:pPr>
        <w:keepNext/>
        <w:spacing w:before="200" w:after="60"/>
      </w:pPr>
      <w:r>
        <w:rPr>
          <w:rFonts w:ascii="Times New Roman" w:hAnsi="Times New Roman"/>
          <w:b/>
          <w:i/>
          <w:color w:val="000000"/>
          <w:sz w:val="20"/>
        </w:rPr>
        <w:t>6.2 Verifier Characterization</w:t>
      </w:r>
    </w:p>
    <w:p>
      <w:pPr>
        <w:keepNext/>
        <w:spacing w:before="200" w:after="60"/>
      </w:pPr>
      <w:r>
        <w:rPr>
          <w:rFonts w:ascii="Times New Roman" w:hAnsi="Times New Roman"/>
          <w:b/>
          <w:i/>
          <w:color w:val="000000"/>
          <w:sz w:val="20"/>
        </w:rPr>
        <w:t>TABLE V: DIRECT-FUNCTION DECISIONS ON 15 EXPOSED MUTATION AND CONTROL PROBES</w:t>
      </w:r>
    </w:p>
    <w:tbl>
      <w:tblPr>
        <w:tblW w:type="auto" w:w="0"/>
        <w:jc w:val="center"/>
        <w:tblLook w:firstColumn="1" w:firstRow="1" w:lastColumn="0" w:lastRow="0" w:noHBand="0" w:noVBand="1" w:val="04A0"/>
      </w:tblPr>
      <w:tblGrid>
        <w:gridCol w:w="2520"/>
        <w:gridCol w:w="2520"/>
        <w:gridCol w:w="2520"/>
        <w:gridCol w:w="2520"/>
      </w:tblGrid>
      <w:tr>
        <w:tc>
          <w:tcPr>
            <w:tcW w:type="dxa" w:w="2520"/>
          </w:tcPr>
          <w:p>
            <w:pPr>
              <w:jc w:val="left"/>
            </w:pPr>
            <w:r>
              <w:rPr>
                <w:rFonts w:ascii="Times New Roman" w:hAnsi="Times New Roman"/>
                <w:b/>
                <w:i w:val="0"/>
                <w:color w:val="000000"/>
                <w:sz w:val="17"/>
              </w:rPr>
              <w:t>Checker</w:t>
            </w:r>
          </w:p>
        </w:tc>
        <w:tc>
          <w:tcPr>
            <w:tcW w:type="dxa" w:w="2520"/>
          </w:tcPr>
          <w:p>
            <w:pPr>
              <w:jc w:val="left"/>
            </w:pPr>
            <w:r>
              <w:rPr>
                <w:rFonts w:ascii="Times New Roman" w:hAnsi="Times New Roman"/>
                <w:b/>
                <w:i w:val="0"/>
                <w:color w:val="000000"/>
                <w:sz w:val="17"/>
              </w:rPr>
              <w:t>Invalid rejected / missed ($n = 11$)</w:t>
            </w:r>
          </w:p>
        </w:tc>
        <w:tc>
          <w:tcPr>
            <w:tcW w:type="dxa" w:w="2520"/>
          </w:tcPr>
          <w:p>
            <w:pPr>
              <w:jc w:val="left"/>
            </w:pPr>
            <w:r>
              <w:rPr>
                <w:rFonts w:ascii="Times New Roman" w:hAnsi="Times New Roman"/>
                <w:b/>
                <w:i w:val="0"/>
                <w:color w:val="000000"/>
                <w:sz w:val="17"/>
              </w:rPr>
              <w:t>Valid rejected / accepted ($n = 4$)</w:t>
            </w:r>
          </w:p>
        </w:tc>
        <w:tc>
          <w:tcPr>
            <w:tcW w:type="dxa" w:w="2520"/>
          </w:tcPr>
          <w:p>
            <w:pPr>
              <w:jc w:val="left"/>
            </w:pPr>
            <w:r>
              <w:rPr>
                <w:rFonts w:ascii="Times New Roman" w:hAnsi="Times New Roman"/>
                <w:b/>
                <w:i w:val="0"/>
                <w:color w:val="000000"/>
                <w:sz w:val="17"/>
              </w:rPr>
              <w:t>Error-detection recall</w:t>
            </w:r>
          </w:p>
        </w:tc>
      </w:tr>
      <w:tr>
        <w:tc>
          <w:tcPr>
            <w:tcW w:type="dxa" w:w="2520"/>
          </w:tcPr>
          <w:p>
            <w:pPr>
              <w:jc w:val="left"/>
            </w:pPr>
            <w:r>
              <w:rPr>
                <w:rFonts w:ascii="Times New Roman" w:hAnsi="Times New Roman"/>
                <w:b w:val="0"/>
                <w:i w:val="0"/>
                <w:color w:val="000000"/>
                <w:sz w:val="17"/>
              </w:rPr>
              <w:t>Local numeric token checker</w:t>
            </w:r>
          </w:p>
        </w:tc>
        <w:tc>
          <w:tcPr>
            <w:tcW w:type="dxa" w:w="2520"/>
          </w:tcPr>
          <w:p>
            <w:pPr>
              <w:jc w:val="left"/>
            </w:pPr>
            <w:r>
              <w:rPr>
                <w:rFonts w:ascii="Times New Roman" w:hAnsi="Times New Roman"/>
                <w:b w:val="0"/>
                <w:i w:val="0"/>
                <w:color w:val="000000"/>
                <w:sz w:val="17"/>
              </w:rPr>
              <w:t>2 / 9</w:t>
            </w:r>
          </w:p>
        </w:tc>
        <w:tc>
          <w:tcPr>
            <w:tcW w:type="dxa" w:w="2520"/>
          </w:tcPr>
          <w:p>
            <w:pPr>
              <w:jc w:val="left"/>
            </w:pPr>
            <w:r>
              <w:rPr>
                <w:rFonts w:ascii="Times New Roman" w:hAnsi="Times New Roman"/>
                <w:b w:val="0"/>
                <w:i w:val="0"/>
                <w:color w:val="000000"/>
                <w:sz w:val="17"/>
              </w:rPr>
              <w:t>0 / 4</w:t>
            </w:r>
          </w:p>
        </w:tc>
        <w:tc>
          <w:tcPr>
            <w:tcW w:type="dxa" w:w="2520"/>
          </w:tcPr>
          <w:p>
            <w:pPr>
              <w:jc w:val="left"/>
            </w:pPr>
            <w:r>
              <w:rPr>
                <w:rFonts w:ascii="Times New Roman" w:hAnsi="Times New Roman"/>
                <w:b w:val="0"/>
                <w:i w:val="0"/>
                <w:color w:val="000000"/>
                <w:sz w:val="17"/>
              </w:rPr>
              <w:t>18.18%</w:t>
            </w:r>
          </w:p>
        </w:tc>
      </w:tr>
      <w:tr>
        <w:tc>
          <w:tcPr>
            <w:tcW w:type="dxa" w:w="2520"/>
          </w:tcPr>
          <w:p>
            <w:pPr>
              <w:jc w:val="left"/>
            </w:pPr>
            <w:r>
              <w:rPr>
                <w:rFonts w:ascii="Times New Roman" w:hAnsi="Times New Roman"/>
                <w:b w:val="0"/>
                <w:i w:val="0"/>
                <w:color w:val="000000"/>
                <w:sz w:val="17"/>
              </w:rPr>
              <w:t>Bounded slot/clause checker</w:t>
            </w:r>
          </w:p>
        </w:tc>
        <w:tc>
          <w:tcPr>
            <w:tcW w:type="dxa" w:w="2520"/>
          </w:tcPr>
          <w:p>
            <w:pPr>
              <w:jc w:val="left"/>
            </w:pPr>
            <w:r>
              <w:rPr>
                <w:rFonts w:ascii="Times New Roman" w:hAnsi="Times New Roman"/>
                <w:b w:val="0"/>
                <w:i w:val="0"/>
                <w:color w:val="000000"/>
                <w:sz w:val="17"/>
              </w:rPr>
              <w:t>11 / 0</w:t>
            </w:r>
          </w:p>
        </w:tc>
        <w:tc>
          <w:tcPr>
            <w:tcW w:type="dxa" w:w="2520"/>
          </w:tcPr>
          <w:p>
            <w:pPr>
              <w:jc w:val="left"/>
            </w:pPr>
            <w:r>
              <w:rPr>
                <w:rFonts w:ascii="Times New Roman" w:hAnsi="Times New Roman"/>
                <w:b w:val="0"/>
                <w:i w:val="0"/>
                <w:color w:val="000000"/>
                <w:sz w:val="17"/>
              </w:rPr>
              <w:t>0 / 4</w:t>
            </w:r>
          </w:p>
        </w:tc>
        <w:tc>
          <w:tcPr>
            <w:tcW w:type="dxa" w:w="2520"/>
          </w:tcPr>
          <w:p>
            <w:pPr>
              <w:jc w:val="left"/>
            </w:pPr>
            <w:r>
              <w:rPr>
                <w:rFonts w:ascii="Times New Roman" w:hAnsi="Times New Roman"/>
                <w:b w:val="0"/>
                <w:i w:val="0"/>
                <w:color w:val="000000"/>
                <w:sz w:val="17"/>
              </w:rPr>
              <w:t>100%</w:t>
            </w:r>
          </w:p>
        </w:tc>
      </w:tr>
    </w:tbl>
    <w:p>
      <w:pPr>
        <w:spacing w:after="120"/>
      </w:pPr>
    </w:p>
    <w:p>
      <w:pPr>
        <w:spacing w:before="0" w:after="80" w:line="252" w:lineRule="auto"/>
        <w:jc w:val="both"/>
      </w:pPr>
      <w:r>
        <w:rPr>
          <w:rFonts w:ascii="Times New Roman" w:hAnsi="Times New Roman"/>
          <w:b w:val="0"/>
          <w:i w:val="0"/>
          <w:color w:val="000000"/>
          <w:sz w:val="19"/>
        </w:rPr>
        <w:t>Both observed false-alarm rates are 0/4, and the small denominators accompany every percentage. Earlier bounded fixes rejected 9 of the 11 invalid probes, and clause attribution closes the two exposed mixed-value swaps. Because both checkers were run on the same 15 probes and these probes informed debugging, the 2/11 versus 11/11 outcome is reported as a descriptive difference on exposed regression cases; it supports no inferential claim of superiority, and the final 11/11 result demonstrates regression closure rather than held-out detection accuracy. For reference, the 95% Wilson intervals are 74.1–100% for 11/11, 5.1–47.7% for 2/11 and 0–49.0% for 0/4 false alarms. Four valid controls are too few to estimate a general false-refusal rate.</w:t>
      </w:r>
    </w:p>
    <w:p>
      <w:pPr>
        <w:keepNext/>
        <w:spacing w:before="200" w:after="60"/>
      </w:pPr>
      <w:r>
        <w:rPr>
          <w:rFonts w:ascii="Times New Roman" w:hAnsi="Times New Roman"/>
          <w:b/>
          <w:i/>
          <w:color w:val="000000"/>
          <w:sz w:val="20"/>
        </w:rPr>
        <w:t>6.3 Implementation and Operational Checks</w:t>
      </w:r>
    </w:p>
    <w:p>
      <w:pPr>
        <w:keepNext/>
        <w:spacing w:before="200" w:after="60"/>
      </w:pPr>
      <w:r>
        <w:rPr>
          <w:rFonts w:ascii="Times New Roman" w:hAnsi="Times New Roman"/>
          <w:b/>
          <w:i/>
          <w:color w:val="000000"/>
          <w:sz w:val="20"/>
        </w:rPr>
        <w:t>TABLE VI: DEVELOPER-AUTHORED REGRESSION CHECKS (ALL PASSED)</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Times New Roman" w:hAnsi="Times New Roman"/>
                <w:b/>
                <w:i w:val="0"/>
                <w:color w:val="000000"/>
                <w:sz w:val="17"/>
              </w:rPr>
              <w:t>Check</w:t>
            </w:r>
          </w:p>
        </w:tc>
        <w:tc>
          <w:tcPr>
            <w:tcW w:type="dxa" w:w="5040"/>
          </w:tcPr>
          <w:p>
            <w:pPr>
              <w:jc w:val="left"/>
            </w:pPr>
            <w:r>
              <w:rPr>
                <w:rFonts w:ascii="Times New Roman" w:hAnsi="Times New Roman"/>
                <w:b/>
                <w:i w:val="0"/>
                <w:color w:val="000000"/>
                <w:sz w:val="17"/>
              </w:rPr>
              <w:t>Result</w:t>
            </w:r>
          </w:p>
        </w:tc>
      </w:tr>
      <w:tr>
        <w:tc>
          <w:tcPr>
            <w:tcW w:type="dxa" w:w="5040"/>
          </w:tcPr>
          <w:p>
            <w:pPr>
              <w:jc w:val="left"/>
            </w:pPr>
            <w:r>
              <w:rPr>
                <w:rFonts w:ascii="Times New Roman" w:hAnsi="Times New Roman"/>
                <w:b w:val="0"/>
                <w:i w:val="0"/>
                <w:color w:val="000000"/>
                <w:sz w:val="17"/>
              </w:rPr>
              <w:t>Backend tests</w:t>
            </w:r>
          </w:p>
        </w:tc>
        <w:tc>
          <w:tcPr>
            <w:tcW w:type="dxa" w:w="5040"/>
          </w:tcPr>
          <w:p>
            <w:pPr>
              <w:jc w:val="left"/>
            </w:pPr>
            <w:r>
              <w:rPr>
                <w:rFonts w:ascii="Times New Roman" w:hAnsi="Times New Roman"/>
                <w:b w:val="0"/>
                <w:i w:val="0"/>
                <w:color w:val="000000"/>
                <w:sz w:val="17"/>
              </w:rPr>
              <w:t>174 passed</w:t>
            </w:r>
          </w:p>
        </w:tc>
      </w:tr>
      <w:tr>
        <w:tc>
          <w:tcPr>
            <w:tcW w:type="dxa" w:w="5040"/>
          </w:tcPr>
          <w:p>
            <w:pPr>
              <w:jc w:val="left"/>
            </w:pPr>
            <w:r>
              <w:rPr>
                <w:rFonts w:ascii="Times New Roman" w:hAnsi="Times New Roman"/>
                <w:b w:val="0"/>
                <w:i w:val="0"/>
                <w:color w:val="000000"/>
                <w:sz w:val="17"/>
              </w:rPr>
              <w:t>Frontend tests</w:t>
            </w:r>
          </w:p>
        </w:tc>
        <w:tc>
          <w:tcPr>
            <w:tcW w:type="dxa" w:w="5040"/>
          </w:tcPr>
          <w:p>
            <w:pPr>
              <w:jc w:val="left"/>
            </w:pPr>
            <w:r>
              <w:rPr>
                <w:rFonts w:ascii="Times New Roman" w:hAnsi="Times New Roman"/>
                <w:b w:val="0"/>
                <w:i w:val="0"/>
                <w:color w:val="000000"/>
                <w:sz w:val="17"/>
              </w:rPr>
              <w:t>16 passed</w:t>
            </w:r>
          </w:p>
        </w:tc>
      </w:tr>
      <w:tr>
        <w:tc>
          <w:tcPr>
            <w:tcW w:type="dxa" w:w="5040"/>
          </w:tcPr>
          <w:p>
            <w:pPr>
              <w:jc w:val="left"/>
            </w:pPr>
            <w:r>
              <w:rPr>
                <w:rFonts w:ascii="Times New Roman" w:hAnsi="Times New Roman"/>
                <w:b w:val="0"/>
                <w:i w:val="0"/>
                <w:color w:val="000000"/>
                <w:sz w:val="17"/>
              </w:rPr>
              <w:t>Routing/content cases</w:t>
            </w:r>
          </w:p>
        </w:tc>
        <w:tc>
          <w:tcPr>
            <w:tcW w:type="dxa" w:w="5040"/>
          </w:tcPr>
          <w:p>
            <w:pPr>
              <w:jc w:val="left"/>
            </w:pPr>
            <w:r>
              <w:rPr>
                <w:rFonts w:ascii="Times New Roman" w:hAnsi="Times New Roman"/>
                <w:b w:val="0"/>
                <w:i w:val="0"/>
                <w:color w:val="000000"/>
                <w:sz w:val="17"/>
              </w:rPr>
              <w:t>500 passed</w:t>
            </w:r>
          </w:p>
        </w:tc>
      </w:tr>
      <w:tr>
        <w:tc>
          <w:tcPr>
            <w:tcW w:type="dxa" w:w="5040"/>
          </w:tcPr>
          <w:p>
            <w:pPr>
              <w:jc w:val="left"/>
            </w:pPr>
            <w:r>
              <w:rPr>
                <w:rFonts w:ascii="Times New Roman" w:hAnsi="Times New Roman"/>
                <w:b w:val="0"/>
                <w:i w:val="0"/>
                <w:color w:val="000000"/>
                <w:sz w:val="17"/>
              </w:rPr>
              <w:t>Strict public diagnostics</w:t>
            </w:r>
          </w:p>
        </w:tc>
        <w:tc>
          <w:tcPr>
            <w:tcW w:type="dxa" w:w="5040"/>
          </w:tcPr>
          <w:p>
            <w:pPr>
              <w:jc w:val="left"/>
            </w:pPr>
            <w:r>
              <w:rPr>
                <w:rFonts w:ascii="Times New Roman" w:hAnsi="Times New Roman"/>
                <w:b w:val="0"/>
                <w:i w:val="0"/>
                <w:color w:val="000000"/>
                <w:sz w:val="17"/>
              </w:rPr>
              <w:t>36 passed</w:t>
            </w:r>
          </w:p>
        </w:tc>
      </w:tr>
      <w:tr>
        <w:tc>
          <w:tcPr>
            <w:tcW w:type="dxa" w:w="5040"/>
          </w:tcPr>
          <w:p>
            <w:pPr>
              <w:jc w:val="left"/>
            </w:pPr>
            <w:r>
              <w:rPr>
                <w:rFonts w:ascii="Times New Roman" w:hAnsi="Times New Roman"/>
                <w:b w:val="0"/>
                <w:i w:val="0"/>
                <w:color w:val="000000"/>
                <w:sz w:val="17"/>
              </w:rPr>
              <w:t>Paraphrase contract cases</w:t>
            </w:r>
          </w:p>
        </w:tc>
        <w:tc>
          <w:tcPr>
            <w:tcW w:type="dxa" w:w="5040"/>
          </w:tcPr>
          <w:p>
            <w:pPr>
              <w:jc w:val="left"/>
            </w:pPr>
            <w:r>
              <w:rPr>
                <w:rFonts w:ascii="Times New Roman" w:hAnsi="Times New Roman"/>
                <w:b w:val="0"/>
                <w:i w:val="0"/>
                <w:color w:val="000000"/>
                <w:sz w:val="17"/>
              </w:rPr>
              <w:t>24 passed</w:t>
            </w:r>
          </w:p>
        </w:tc>
      </w:tr>
      <w:tr>
        <w:tc>
          <w:tcPr>
            <w:tcW w:type="dxa" w:w="5040"/>
          </w:tcPr>
          <w:p>
            <w:pPr>
              <w:jc w:val="left"/>
            </w:pPr>
            <w:r>
              <w:rPr>
                <w:rFonts w:ascii="Times New Roman" w:hAnsi="Times New Roman"/>
                <w:b w:val="0"/>
                <w:i w:val="0"/>
                <w:color w:val="000000"/>
                <w:sz w:val="17"/>
              </w:rPr>
              <w:t>Browser answer audit</w:t>
            </w:r>
          </w:p>
        </w:tc>
        <w:tc>
          <w:tcPr>
            <w:tcW w:type="dxa" w:w="5040"/>
          </w:tcPr>
          <w:p>
            <w:pPr>
              <w:jc w:val="left"/>
            </w:pPr>
            <w:r>
              <w:rPr>
                <w:rFonts w:ascii="Times New Roman" w:hAnsi="Times New Roman"/>
                <w:b w:val="0"/>
                <w:i w:val="0"/>
                <w:color w:val="000000"/>
                <w:sz w:val="17"/>
              </w:rPr>
              <w:t>468 journeys passed (78 questions × 3 languages × 2 corpus snapshots)</w:t>
            </w:r>
          </w:p>
        </w:tc>
      </w:tr>
    </w:tbl>
    <w:p>
      <w:pPr>
        <w:spacing w:after="120"/>
      </w:pPr>
    </w:p>
    <w:p>
      <w:pPr>
        <w:spacing w:before="0" w:after="80" w:line="252" w:lineRule="auto"/>
        <w:jc w:val="both"/>
      </w:pPr>
      <w:r>
        <w:rPr>
          <w:rFonts w:ascii="Times New Roman" w:hAnsi="Times New Roman"/>
          <w:b w:val="0"/>
          <w:i w:val="0"/>
          <w:color w:val="000000"/>
          <w:sz w:val="19"/>
        </w:rPr>
        <w:t>These developer-controlled checks are overlapping regression evidence: the 1,218 passed items are not 1,218 independent user questions and are not combined into an accuracy estimate. Frontend lint and production build also pass. A local model-disabled HTTP smoke test completes 100 requests at concurrency five (p50 26.76 ms, p95 36.62 ms) on in-memory SQLite with raised test limits, excluding network and provider overhead. A maintained-data backup with 1,146 asset files passes checksum verification and isolated restore.</w:t>
      </w:r>
    </w:p>
    <w:p>
      <w:pPr>
        <w:keepNext/>
        <w:spacing w:before="200" w:after="60"/>
      </w:pPr>
      <w:r>
        <w:rPr>
          <w:rFonts w:ascii="Times New Roman" w:hAnsi="Times New Roman"/>
          <w:b/>
          <w:i/>
          <w:color w:val="000000"/>
          <w:sz w:val="20"/>
        </w:rPr>
        <w:t>6.4 Multilingual Benchmark Outcomes ($N = 90$)</w:t>
      </w:r>
    </w:p>
    <w:p>
      <w:pPr>
        <w:keepNext/>
        <w:spacing w:before="200" w:after="60"/>
      </w:pPr>
      <w:r>
        <w:rPr>
          <w:rFonts w:ascii="Times New Roman" w:hAnsi="Times New Roman"/>
          <w:b/>
          <w:i/>
          <w:color w:val="000000"/>
          <w:sz w:val="20"/>
        </w:rPr>
        <w:t>TABLE VII: MULTILINGUAL 90-CASE BENCHMARK OUTCOMES ACROSS MILESTONES (RUN 3 POST-NORMALIZATION [RUN 2 BASELINE])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left"/>
            </w:pPr>
            <w:r>
              <w:rPr>
                <w:rFonts w:ascii="Times New Roman" w:hAnsi="Times New Roman"/>
                <w:b/>
                <w:i w:val="0"/>
                <w:color w:val="000000"/>
                <w:sz w:val="17"/>
              </w:rPr>
              <w:t>Metric</w:t>
            </w:r>
          </w:p>
        </w:tc>
        <w:tc>
          <w:tcPr>
            <w:tcW w:type="dxa" w:w="2016"/>
          </w:tcPr>
          <w:p>
            <w:pPr>
              <w:jc w:val="left"/>
            </w:pPr>
            <w:r>
              <w:rPr>
                <w:rFonts w:ascii="Times New Roman" w:hAnsi="Times New Roman"/>
                <w:b/>
                <w:i w:val="0"/>
                <w:color w:val="000000"/>
                <w:sz w:val="17"/>
              </w:rPr>
              <w:t>English ($n = 30$)</w:t>
            </w:r>
          </w:p>
        </w:tc>
        <w:tc>
          <w:tcPr>
            <w:tcW w:type="dxa" w:w="2016"/>
          </w:tcPr>
          <w:p>
            <w:pPr>
              <w:jc w:val="left"/>
            </w:pPr>
            <w:r>
              <w:rPr>
                <w:rFonts w:ascii="Times New Roman" w:hAnsi="Times New Roman"/>
                <w:b/>
                <w:i w:val="0"/>
                <w:color w:val="000000"/>
                <w:sz w:val="17"/>
              </w:rPr>
              <w:t>Marathi ($n = 30$)</w:t>
            </w:r>
          </w:p>
        </w:tc>
        <w:tc>
          <w:tcPr>
            <w:tcW w:type="dxa" w:w="2016"/>
          </w:tcPr>
          <w:p>
            <w:pPr>
              <w:jc w:val="left"/>
            </w:pPr>
            <w:r>
              <w:rPr>
                <w:rFonts w:ascii="Times New Roman" w:hAnsi="Times New Roman"/>
                <w:b/>
                <w:i w:val="0"/>
                <w:color w:val="000000"/>
                <w:sz w:val="17"/>
              </w:rPr>
              <w:t>Hindi ($n = 30$)</w:t>
            </w:r>
          </w:p>
        </w:tc>
        <w:tc>
          <w:tcPr>
            <w:tcW w:type="dxa" w:w="2016"/>
          </w:tcPr>
          <w:p>
            <w:pPr>
              <w:jc w:val="left"/>
            </w:pPr>
            <w:r>
              <w:rPr>
                <w:rFonts w:ascii="Times New Roman" w:hAnsi="Times New Roman"/>
                <w:b/>
                <w:i w:val="0"/>
                <w:color w:val="000000"/>
                <w:sz w:val="17"/>
              </w:rPr>
              <w:t>Overall ($N = 90$)</w:t>
            </w:r>
          </w:p>
        </w:tc>
      </w:tr>
      <w:tr>
        <w:tc>
          <w:tcPr>
            <w:tcW w:type="dxa" w:w="2016"/>
          </w:tcPr>
          <w:p>
            <w:pPr>
              <w:jc w:val="left"/>
            </w:pPr>
            <w:r>
              <w:rPr>
                <w:rFonts w:ascii="Times New Roman" w:hAnsi="Times New Roman"/>
                <w:b w:val="0"/>
                <w:i w:val="0"/>
                <w:color w:val="000000"/>
                <w:sz w:val="17"/>
              </w:rPr>
              <w:t>Answer correctness</w:t>
            </w:r>
          </w:p>
        </w:tc>
        <w:tc>
          <w:tcPr>
            <w:tcW w:type="dxa" w:w="2016"/>
          </w:tcPr>
          <w:p>
            <w:pPr>
              <w:jc w:val="left"/>
            </w:pPr>
            <w:r>
              <w:rPr>
                <w:rFonts w:ascii="Times New Roman" w:hAnsi="Times New Roman"/>
                <w:b w:val="0"/>
                <w:i w:val="0"/>
                <w:color w:val="000000"/>
                <w:sz w:val="17"/>
              </w:rPr>
              <w:t>85.0% (17/20) [85.0%]</w:t>
            </w:r>
          </w:p>
        </w:tc>
        <w:tc>
          <w:tcPr>
            <w:tcW w:type="dxa" w:w="2016"/>
          </w:tcPr>
          <w:p>
            <w:pPr>
              <w:jc w:val="left"/>
            </w:pPr>
            <w:r>
              <w:rPr>
                <w:rFonts w:ascii="Times New Roman" w:hAnsi="Times New Roman"/>
                <w:b w:val="0"/>
                <w:i w:val="0"/>
                <w:color w:val="000000"/>
                <w:sz w:val="17"/>
              </w:rPr>
              <w:t>85.0% (17/20) [50.0%]</w:t>
            </w:r>
          </w:p>
        </w:tc>
        <w:tc>
          <w:tcPr>
            <w:tcW w:type="dxa" w:w="2016"/>
          </w:tcPr>
          <w:p>
            <w:pPr>
              <w:jc w:val="left"/>
            </w:pPr>
            <w:r>
              <w:rPr>
                <w:rFonts w:ascii="Times New Roman" w:hAnsi="Times New Roman"/>
                <w:b w:val="0"/>
                <w:i w:val="0"/>
                <w:color w:val="000000"/>
                <w:sz w:val="17"/>
              </w:rPr>
              <w:t>90.0% (18/20) [45.0%]</w:t>
            </w:r>
          </w:p>
        </w:tc>
        <w:tc>
          <w:tcPr>
            <w:tcW w:type="dxa" w:w="2016"/>
          </w:tcPr>
          <w:p>
            <w:pPr>
              <w:jc w:val="left"/>
            </w:pPr>
            <w:r>
              <w:rPr>
                <w:rFonts w:ascii="Times New Roman" w:hAnsi="Times New Roman"/>
                <w:b w:val="0"/>
                <w:i w:val="0"/>
                <w:color w:val="000000"/>
                <w:sz w:val="17"/>
              </w:rPr>
              <w:t>86.7% (52/60) [60.0%]</w:t>
            </w:r>
          </w:p>
        </w:tc>
      </w:tr>
      <w:tr>
        <w:tc>
          <w:tcPr>
            <w:tcW w:type="dxa" w:w="2016"/>
          </w:tcPr>
          <w:p>
            <w:pPr>
              <w:jc w:val="left"/>
            </w:pPr>
            <w:r>
              <w:rPr>
                <w:rFonts w:ascii="Times New Roman" w:hAnsi="Times New Roman"/>
                <w:b w:val="0"/>
                <w:i w:val="0"/>
                <w:color w:val="000000"/>
                <w:sz w:val="17"/>
              </w:rPr>
              <w:t>Source attachment</w:t>
            </w:r>
          </w:p>
        </w:tc>
        <w:tc>
          <w:tcPr>
            <w:tcW w:type="dxa" w:w="2016"/>
          </w:tcPr>
          <w:p>
            <w:pPr>
              <w:jc w:val="left"/>
            </w:pPr>
            <w:r>
              <w:rPr>
                <w:rFonts w:ascii="Times New Roman" w:hAnsi="Times New Roman"/>
                <w:b w:val="0"/>
                <w:i w:val="0"/>
                <w:color w:val="000000"/>
                <w:sz w:val="17"/>
              </w:rPr>
              <w:t>100.0% (20/20) [100.0%]</w:t>
            </w:r>
          </w:p>
        </w:tc>
        <w:tc>
          <w:tcPr>
            <w:tcW w:type="dxa" w:w="2016"/>
          </w:tcPr>
          <w:p>
            <w:pPr>
              <w:jc w:val="left"/>
            </w:pPr>
            <w:r>
              <w:rPr>
                <w:rFonts w:ascii="Times New Roman" w:hAnsi="Times New Roman"/>
                <w:b w:val="0"/>
                <w:i w:val="0"/>
                <w:color w:val="000000"/>
                <w:sz w:val="17"/>
              </w:rPr>
              <w:t>100.0% (20/20) [70.0%]</w:t>
            </w:r>
          </w:p>
        </w:tc>
        <w:tc>
          <w:tcPr>
            <w:tcW w:type="dxa" w:w="2016"/>
          </w:tcPr>
          <w:p>
            <w:pPr>
              <w:jc w:val="left"/>
            </w:pPr>
            <w:r>
              <w:rPr>
                <w:rFonts w:ascii="Times New Roman" w:hAnsi="Times New Roman"/>
                <w:b w:val="0"/>
                <w:i w:val="0"/>
                <w:color w:val="000000"/>
                <w:sz w:val="17"/>
              </w:rPr>
              <w:t>100.0% (20/20) [60.0%]</w:t>
            </w:r>
          </w:p>
        </w:tc>
        <w:tc>
          <w:tcPr>
            <w:tcW w:type="dxa" w:w="2016"/>
          </w:tcPr>
          <w:p>
            <w:pPr>
              <w:jc w:val="left"/>
            </w:pPr>
            <w:r>
              <w:rPr>
                <w:rFonts w:ascii="Times New Roman" w:hAnsi="Times New Roman"/>
                <w:b w:val="0"/>
                <w:i w:val="0"/>
                <w:color w:val="000000"/>
                <w:sz w:val="17"/>
              </w:rPr>
              <w:t>100.0% (60/60) [76.7%]</w:t>
            </w:r>
          </w:p>
        </w:tc>
      </w:tr>
      <w:tr>
        <w:tc>
          <w:tcPr>
            <w:tcW w:type="dxa" w:w="2016"/>
          </w:tcPr>
          <w:p>
            <w:pPr>
              <w:jc w:val="left"/>
            </w:pPr>
            <w:r>
              <w:rPr>
                <w:rFonts w:ascii="Times New Roman" w:hAnsi="Times New Roman"/>
                <w:b w:val="0"/>
                <w:i w:val="0"/>
                <w:color w:val="000000"/>
                <w:sz w:val="17"/>
              </w:rPr>
              <w:t>Appropriate abstention</w:t>
            </w:r>
          </w:p>
        </w:tc>
        <w:tc>
          <w:tcPr>
            <w:tcW w:type="dxa" w:w="2016"/>
          </w:tcPr>
          <w:p>
            <w:pPr>
              <w:jc w:val="left"/>
            </w:pPr>
            <w:r>
              <w:rPr>
                <w:rFonts w:ascii="Times New Roman" w:hAnsi="Times New Roman"/>
                <w:b w:val="0"/>
                <w:i w:val="0"/>
                <w:color w:val="000000"/>
                <w:sz w:val="17"/>
              </w:rPr>
              <w:t>57.1% (4/7) [57.1%]</w:t>
            </w:r>
          </w:p>
        </w:tc>
        <w:tc>
          <w:tcPr>
            <w:tcW w:type="dxa" w:w="2016"/>
          </w:tcPr>
          <w:p>
            <w:pPr>
              <w:jc w:val="left"/>
            </w:pPr>
            <w:r>
              <w:rPr>
                <w:rFonts w:ascii="Times New Roman" w:hAnsi="Times New Roman"/>
                <w:b w:val="0"/>
                <w:i w:val="0"/>
                <w:color w:val="000000"/>
                <w:sz w:val="17"/>
              </w:rPr>
              <w:t>57.1% (4/7) [71.4%]</w:t>
            </w:r>
          </w:p>
        </w:tc>
        <w:tc>
          <w:tcPr>
            <w:tcW w:type="dxa" w:w="2016"/>
          </w:tcPr>
          <w:p>
            <w:pPr>
              <w:jc w:val="left"/>
            </w:pPr>
            <w:r>
              <w:rPr>
                <w:rFonts w:ascii="Times New Roman" w:hAnsi="Times New Roman"/>
                <w:b w:val="0"/>
                <w:i w:val="0"/>
                <w:color w:val="000000"/>
                <w:sz w:val="17"/>
              </w:rPr>
              <w:t>85.7% (6/7) [85.7%]</w:t>
            </w:r>
          </w:p>
        </w:tc>
        <w:tc>
          <w:tcPr>
            <w:tcW w:type="dxa" w:w="2016"/>
          </w:tcPr>
          <w:p>
            <w:pPr>
              <w:jc w:val="left"/>
            </w:pPr>
            <w:r>
              <w:rPr>
                <w:rFonts w:ascii="Times New Roman" w:hAnsi="Times New Roman"/>
                <w:b w:val="0"/>
                <w:i w:val="0"/>
                <w:color w:val="000000"/>
                <w:sz w:val="17"/>
              </w:rPr>
              <w:t>66.7% (14/21) [71.4%]</w:t>
            </w:r>
          </w:p>
        </w:tc>
      </w:tr>
      <w:tr>
        <w:tc>
          <w:tcPr>
            <w:tcW w:type="dxa" w:w="2016"/>
          </w:tcPr>
          <w:p>
            <w:pPr>
              <w:jc w:val="left"/>
            </w:pPr>
            <w:r>
              <w:rPr>
                <w:rFonts w:ascii="Times New Roman" w:hAnsi="Times New Roman"/>
                <w:b w:val="0"/>
                <w:i w:val="0"/>
                <w:color w:val="000000"/>
                <w:sz w:val="17"/>
              </w:rPr>
              <w:t>Clarification accuracy</w:t>
            </w:r>
          </w:p>
        </w:tc>
        <w:tc>
          <w:tcPr>
            <w:tcW w:type="dxa" w:w="2016"/>
          </w:tcPr>
          <w:p>
            <w:pPr>
              <w:jc w:val="left"/>
            </w:pPr>
            <w:r>
              <w:rPr>
                <w:rFonts w:ascii="Times New Roman" w:hAnsi="Times New Roman"/>
                <w:b w:val="0"/>
                <w:i w:val="0"/>
                <w:color w:val="000000"/>
                <w:sz w:val="17"/>
              </w:rPr>
              <w:t>33.3% (1/3) [33.3%]</w:t>
            </w:r>
          </w:p>
        </w:tc>
        <w:tc>
          <w:tcPr>
            <w:tcW w:type="dxa" w:w="2016"/>
          </w:tcPr>
          <w:p>
            <w:pPr>
              <w:jc w:val="left"/>
            </w:pPr>
            <w:r>
              <w:rPr>
                <w:rFonts w:ascii="Times New Roman" w:hAnsi="Times New Roman"/>
                <w:b w:val="0"/>
                <w:i w:val="0"/>
                <w:color w:val="000000"/>
                <w:sz w:val="17"/>
              </w:rPr>
              <w:t>100.0% (3/3) [100.0%]</w:t>
            </w:r>
          </w:p>
        </w:tc>
        <w:tc>
          <w:tcPr>
            <w:tcW w:type="dxa" w:w="2016"/>
          </w:tcPr>
          <w:p>
            <w:pPr>
              <w:jc w:val="left"/>
            </w:pPr>
            <w:r>
              <w:rPr>
                <w:rFonts w:ascii="Times New Roman" w:hAnsi="Times New Roman"/>
                <w:b w:val="0"/>
                <w:i w:val="0"/>
                <w:color w:val="000000"/>
                <w:sz w:val="17"/>
              </w:rPr>
              <w:t>100.0% (3/3) [100.0%]</w:t>
            </w:r>
          </w:p>
        </w:tc>
        <w:tc>
          <w:tcPr>
            <w:tcW w:type="dxa" w:w="2016"/>
          </w:tcPr>
          <w:p>
            <w:pPr>
              <w:jc w:val="left"/>
            </w:pPr>
            <w:r>
              <w:rPr>
                <w:rFonts w:ascii="Times New Roman" w:hAnsi="Times New Roman"/>
                <w:b w:val="0"/>
                <w:i w:val="0"/>
                <w:color w:val="000000"/>
                <w:sz w:val="17"/>
              </w:rPr>
              <w:t>77.8% (7/9) [77.8%]</w:t>
            </w:r>
          </w:p>
        </w:tc>
      </w:tr>
      <w:tr>
        <w:tc>
          <w:tcPr>
            <w:tcW w:type="dxa" w:w="2016"/>
          </w:tcPr>
          <w:p>
            <w:pPr>
              <w:jc w:val="left"/>
            </w:pPr>
            <w:r>
              <w:rPr>
                <w:rFonts w:ascii="Times New Roman" w:hAnsi="Times New Roman"/>
                <w:b w:val="0"/>
                <w:i w:val="0"/>
                <w:color w:val="000000"/>
                <w:sz w:val="17"/>
              </w:rPr>
              <w:t>False-answer rate</w:t>
            </w:r>
          </w:p>
        </w:tc>
        <w:tc>
          <w:tcPr>
            <w:tcW w:type="dxa" w:w="2016"/>
          </w:tcPr>
          <w:p>
            <w:pPr>
              <w:jc w:val="left"/>
            </w:pPr>
            <w:r>
              <w:rPr>
                <w:rFonts w:ascii="Times New Roman" w:hAnsi="Times New Roman"/>
                <w:b w:val="0"/>
                <w:i w:val="0"/>
                <w:color w:val="000000"/>
                <w:sz w:val="17"/>
              </w:rPr>
              <w:t>42.9% (3/7) [42.9%]</w:t>
            </w:r>
          </w:p>
        </w:tc>
        <w:tc>
          <w:tcPr>
            <w:tcW w:type="dxa" w:w="2016"/>
          </w:tcPr>
          <w:p>
            <w:pPr>
              <w:jc w:val="left"/>
            </w:pPr>
            <w:r>
              <w:rPr>
                <w:rFonts w:ascii="Times New Roman" w:hAnsi="Times New Roman"/>
                <w:b w:val="0"/>
                <w:i w:val="0"/>
                <w:color w:val="000000"/>
                <w:sz w:val="17"/>
              </w:rPr>
              <w:t>42.9% (3/7) [28.6%]</w:t>
            </w:r>
          </w:p>
        </w:tc>
        <w:tc>
          <w:tcPr>
            <w:tcW w:type="dxa" w:w="2016"/>
          </w:tcPr>
          <w:p>
            <w:pPr>
              <w:jc w:val="left"/>
            </w:pPr>
            <w:r>
              <w:rPr>
                <w:rFonts w:ascii="Times New Roman" w:hAnsi="Times New Roman"/>
                <w:b w:val="0"/>
                <w:i w:val="0"/>
                <w:color w:val="000000"/>
                <w:sz w:val="17"/>
              </w:rPr>
              <w:t>14.3% (1/7) [14.3%]</w:t>
            </w:r>
          </w:p>
        </w:tc>
        <w:tc>
          <w:tcPr>
            <w:tcW w:type="dxa" w:w="2016"/>
          </w:tcPr>
          <w:p>
            <w:pPr>
              <w:jc w:val="left"/>
            </w:pPr>
            <w:r>
              <w:rPr>
                <w:rFonts w:ascii="Times New Roman" w:hAnsi="Times New Roman"/>
                <w:b w:val="0"/>
                <w:i w:val="0"/>
                <w:color w:val="000000"/>
                <w:sz w:val="17"/>
              </w:rPr>
              <w:t>33.3% (7/21) [28.6%]</w:t>
            </w:r>
          </w:p>
        </w:tc>
      </w:tr>
      <w:tr>
        <w:tc>
          <w:tcPr>
            <w:tcW w:type="dxa" w:w="2016"/>
          </w:tcPr>
          <w:p>
            <w:pPr>
              <w:jc w:val="left"/>
            </w:pPr>
            <w:r>
              <w:rPr>
                <w:rFonts w:ascii="Times New Roman" w:hAnsi="Times New Roman"/>
                <w:b w:val="0"/>
                <w:i w:val="0"/>
                <w:color w:val="000000"/>
                <w:sz w:val="17"/>
              </w:rPr>
              <w:t>False-refusal rate</w:t>
            </w:r>
          </w:p>
        </w:tc>
        <w:tc>
          <w:tcPr>
            <w:tcW w:type="dxa" w:w="2016"/>
          </w:tcPr>
          <w:p>
            <w:pPr>
              <w:jc w:val="left"/>
            </w:pPr>
            <w:r>
              <w:rPr>
                <w:rFonts w:ascii="Times New Roman" w:hAnsi="Times New Roman"/>
                <w:b w:val="0"/>
                <w:i w:val="0"/>
                <w:color w:val="000000"/>
                <w:sz w:val="17"/>
              </w:rPr>
              <w:t>0.0% (0/20) [0.0%]</w:t>
            </w:r>
          </w:p>
        </w:tc>
        <w:tc>
          <w:tcPr>
            <w:tcW w:type="dxa" w:w="2016"/>
          </w:tcPr>
          <w:p>
            <w:pPr>
              <w:jc w:val="left"/>
            </w:pPr>
            <w:r>
              <w:rPr>
                <w:rFonts w:ascii="Times New Roman" w:hAnsi="Times New Roman"/>
                <w:b w:val="0"/>
                <w:i w:val="0"/>
                <w:color w:val="000000"/>
                <w:sz w:val="17"/>
              </w:rPr>
              <w:t>0.0% (0/20) [30.0%]</w:t>
            </w:r>
          </w:p>
        </w:tc>
        <w:tc>
          <w:tcPr>
            <w:tcW w:type="dxa" w:w="2016"/>
          </w:tcPr>
          <w:p>
            <w:pPr>
              <w:jc w:val="left"/>
            </w:pPr>
            <w:r>
              <w:rPr>
                <w:rFonts w:ascii="Times New Roman" w:hAnsi="Times New Roman"/>
                <w:b w:val="0"/>
                <w:i w:val="0"/>
                <w:color w:val="000000"/>
                <w:sz w:val="17"/>
              </w:rPr>
              <w:t>0.0% (0/20) [40.0%]</w:t>
            </w:r>
          </w:p>
        </w:tc>
        <w:tc>
          <w:tcPr>
            <w:tcW w:type="dxa" w:w="2016"/>
          </w:tcPr>
          <w:p>
            <w:pPr>
              <w:jc w:val="left"/>
            </w:pPr>
            <w:r>
              <w:rPr>
                <w:rFonts w:ascii="Times New Roman" w:hAnsi="Times New Roman"/>
                <w:b w:val="0"/>
                <w:i w:val="0"/>
                <w:color w:val="000000"/>
                <w:sz w:val="17"/>
              </w:rPr>
              <w:t>0.0% (0/60) [23.3%]</w:t>
            </w:r>
          </w:p>
        </w:tc>
      </w:tr>
      <w:tr>
        <w:tc>
          <w:tcPr>
            <w:tcW w:type="dxa" w:w="2016"/>
          </w:tcPr>
          <w:p>
            <w:pPr>
              <w:jc w:val="left"/>
            </w:pPr>
            <w:r>
              <w:rPr>
                <w:rFonts w:ascii="Times New Roman" w:hAnsi="Times New Roman"/>
                <w:b w:val="0"/>
                <w:i w:val="0"/>
                <w:color w:val="000000"/>
                <w:sz w:val="17"/>
              </w:rPr>
              <w:t>Referral routing</w:t>
            </w:r>
          </w:p>
        </w:tc>
        <w:tc>
          <w:tcPr>
            <w:tcW w:type="dxa" w:w="2016"/>
          </w:tcPr>
          <w:p>
            <w:pPr>
              <w:jc w:val="left"/>
            </w:pPr>
            <w:r>
              <w:rPr>
                <w:rFonts w:ascii="Times New Roman" w:hAnsi="Times New Roman"/>
                <w:b w:val="0"/>
                <w:i w:val="0"/>
                <w:color w:val="000000"/>
                <w:sz w:val="17"/>
              </w:rPr>
              <w:t>100.0% (4/4) [100%]</w:t>
            </w:r>
          </w:p>
        </w:tc>
        <w:tc>
          <w:tcPr>
            <w:tcW w:type="dxa" w:w="2016"/>
          </w:tcPr>
          <w:p>
            <w:pPr>
              <w:jc w:val="left"/>
            </w:pPr>
            <w:r>
              <w:rPr>
                <w:rFonts w:ascii="Times New Roman" w:hAnsi="Times New Roman"/>
                <w:b w:val="0"/>
                <w:i w:val="0"/>
                <w:color w:val="000000"/>
                <w:sz w:val="17"/>
              </w:rPr>
              <w:t>100.0% (4/4) [100%]</w:t>
            </w:r>
          </w:p>
        </w:tc>
        <w:tc>
          <w:tcPr>
            <w:tcW w:type="dxa" w:w="2016"/>
          </w:tcPr>
          <w:p>
            <w:pPr>
              <w:jc w:val="left"/>
            </w:pPr>
            <w:r>
              <w:rPr>
                <w:rFonts w:ascii="Times New Roman" w:hAnsi="Times New Roman"/>
                <w:b w:val="0"/>
                <w:i w:val="0"/>
                <w:color w:val="000000"/>
                <w:sz w:val="17"/>
              </w:rPr>
              <w:t>100.0% (6/6) [100%]</w:t>
            </w:r>
          </w:p>
        </w:tc>
        <w:tc>
          <w:tcPr>
            <w:tcW w:type="dxa" w:w="2016"/>
          </w:tcPr>
          <w:p>
            <w:pPr>
              <w:jc w:val="left"/>
            </w:pPr>
            <w:r>
              <w:rPr>
                <w:rFonts w:ascii="Times New Roman" w:hAnsi="Times New Roman"/>
                <w:b w:val="0"/>
                <w:i w:val="0"/>
                <w:color w:val="000000"/>
                <w:sz w:val="17"/>
              </w:rPr>
              <w:t>100.0% (14/14) [100%]</w:t>
            </w:r>
          </w:p>
        </w:tc>
      </w:tr>
      <w:tr>
        <w:tc>
          <w:tcPr>
            <w:tcW w:type="dxa" w:w="2016"/>
          </w:tcPr>
          <w:p>
            <w:pPr>
              <w:jc w:val="left"/>
            </w:pPr>
            <w:r>
              <w:rPr>
                <w:rFonts w:ascii="Times New Roman" w:hAnsi="Times New Roman"/>
                <w:b w:val="0"/>
                <w:i w:val="0"/>
                <w:color w:val="000000"/>
                <w:sz w:val="17"/>
              </w:rPr>
              <w:t>Language fidelity (mean/5)</w:t>
            </w:r>
          </w:p>
        </w:tc>
        <w:tc>
          <w:tcPr>
            <w:tcW w:type="dxa" w:w="2016"/>
          </w:tcPr>
          <w:p>
            <w:pPr>
              <w:jc w:val="left"/>
            </w:pPr>
            <w:r>
              <w:rPr>
                <w:rFonts w:ascii="Times New Roman" w:hAnsi="Times New Roman"/>
                <w:b w:val="0"/>
                <w:i w:val="0"/>
                <w:color w:val="000000"/>
                <w:sz w:val="17"/>
              </w:rPr>
              <w:t>5.00 [5.00]</w:t>
            </w:r>
          </w:p>
        </w:tc>
        <w:tc>
          <w:tcPr>
            <w:tcW w:type="dxa" w:w="2016"/>
          </w:tcPr>
          <w:p>
            <w:pPr>
              <w:jc w:val="left"/>
            </w:pPr>
            <w:r>
              <w:rPr>
                <w:rFonts w:ascii="Times New Roman" w:hAnsi="Times New Roman"/>
                <w:b w:val="0"/>
                <w:i w:val="0"/>
                <w:color w:val="000000"/>
                <w:sz w:val="17"/>
              </w:rPr>
              <w:t>4.13 [4.70]</w:t>
            </w:r>
          </w:p>
        </w:tc>
        <w:tc>
          <w:tcPr>
            <w:tcW w:type="dxa" w:w="2016"/>
          </w:tcPr>
          <w:p>
            <w:pPr>
              <w:jc w:val="left"/>
            </w:pPr>
            <w:r>
              <w:rPr>
                <w:rFonts w:ascii="Times New Roman" w:hAnsi="Times New Roman"/>
                <w:b w:val="0"/>
                <w:i w:val="0"/>
                <w:color w:val="000000"/>
                <w:sz w:val="17"/>
              </w:rPr>
              <w:t>4.33 [4.80]</w:t>
            </w:r>
          </w:p>
        </w:tc>
        <w:tc>
          <w:tcPr>
            <w:tcW w:type="dxa" w:w="2016"/>
          </w:tcPr>
          <w:p>
            <w:pPr>
              <w:jc w:val="left"/>
            </w:pPr>
            <w:r>
              <w:rPr>
                <w:rFonts w:ascii="Times New Roman" w:hAnsi="Times New Roman"/>
                <w:b w:val="0"/>
                <w:i w:val="0"/>
                <w:color w:val="000000"/>
                <w:sz w:val="17"/>
              </w:rPr>
              <w:t>4.49 [4.83]</w:t>
            </w:r>
          </w:p>
        </w:tc>
      </w:tr>
    </w:tbl>
    <w:p>
      <w:pPr>
        <w:spacing w:after="120"/>
      </w:pPr>
    </w:p>
    <w:p>
      <w:pPr>
        <w:spacing w:before="0" w:after="80" w:line="252" w:lineRule="auto"/>
        <w:jc w:val="both"/>
      </w:pPr>
      <w:r>
        <w:rPr>
          <w:rFonts w:ascii="Times New Roman" w:hAnsi="Times New Roman"/>
          <w:b w:val="0"/>
          <w:i w:val="0"/>
          <w:color w:val="000000"/>
          <w:sz w:val="19"/>
        </w:rPr>
        <w:t>Table VII summarizes the evolution across evaluation milestones. In Run 2 (`3216bb3`), 36 of 60 answerable cases (60.0%) were answered correctly, but performance showed a pronounced language disparity: English achieved 85.0% (17/20), whereas Marathi achieved 50.0% (10/20) and Hindi 45.0% (9/20). Statistical testing confirmed this baseline gap: Fisher's exact test yielded $p \approx 0.04$ for English versus Marathi, $p \approx 0.02$ for English versus Hindi, and $p \approx 0.006$ for English versus pooled Devanagari. The false-refusal rate was 23.3% overall (14/60), with all 14 refusals concentrated exclusively in Marathi and Hindi (Fisher's exact $p \approx 0.002$).</w:t>
      </w:r>
    </w:p>
    <w:p>
      <w:pPr>
        <w:spacing w:before="0" w:after="80" w:line="252" w:lineRule="auto"/>
        <w:jc w:val="both"/>
      </w:pPr>
      <w:r>
        <w:rPr>
          <w:rFonts w:ascii="Times New Roman" w:hAnsi="Times New Roman"/>
          <w:b w:val="0"/>
          <w:i w:val="0"/>
          <w:color w:val="000000"/>
          <w:sz w:val="19"/>
        </w:rPr>
        <w:t xml:space="preserve">Following the diagnosis detailed in Section 6.5, Run 3 (`6219cb8`) integrated native dictionary normalization for facility, sports, transit, and affiliation vocabulary into query preprocessing and made harness fact-scoring script-aware (handling Devanagari numerals and cross-script synonyms like </w:t>
      </w:r>
      <w:r>
        <w:rPr>
          <w:rFonts w:ascii="Times New Roman" w:hAnsi="Times New Roman"/>
          <w:b w:val="0"/>
          <w:i/>
          <w:color w:val="000000"/>
          <w:sz w:val="19"/>
        </w:rPr>
        <w:t>railway</w:t>
      </w:r>
      <w:r>
        <w:rPr>
          <w:rFonts w:ascii="Times New Roman" w:hAnsi="Times New Roman"/>
          <w:b w:val="0"/>
          <w:i w:val="0"/>
          <w:color w:val="000000"/>
          <w:sz w:val="19"/>
        </w:rPr>
        <w:t xml:space="preserve"> / </w:t>
      </w:r>
      <w:r>
        <w:rPr>
          <w:rFonts w:ascii="Times New Roman" w:hAnsi="Times New Roman"/>
          <w:b w:val="0"/>
          <w:i/>
          <w:color w:val="000000"/>
          <w:sz w:val="19"/>
        </w:rPr>
        <w:t>रेल्वे</w:t>
      </w:r>
      <w:r>
        <w:rPr>
          <w:rFonts w:ascii="Times New Roman" w:hAnsi="Times New Roman"/>
          <w:b w:val="0"/>
          <w:i w:val="0"/>
          <w:color w:val="000000"/>
          <w:sz w:val="19"/>
        </w:rPr>
        <w:t xml:space="preserve">). In Run 3, overall answer correctness rose to </w:t>
      </w:r>
      <w:r>
        <w:rPr>
          <w:rFonts w:ascii="Times New Roman" w:hAnsi="Times New Roman"/>
          <w:b/>
          <w:i w:val="0"/>
          <w:color w:val="000000"/>
          <w:sz w:val="19"/>
        </w:rPr>
        <w:t>86.7%</w:t>
      </w:r>
      <w:r>
        <w:rPr>
          <w:rFonts w:ascii="Times New Roman" w:hAnsi="Times New Roman"/>
          <w:b w:val="0"/>
          <w:i w:val="0"/>
          <w:color w:val="000000"/>
          <w:sz w:val="19"/>
        </w:rPr>
        <w:t xml:space="preserve"> (52/60), source attachment reached </w:t>
      </w:r>
      <w:r>
        <w:rPr>
          <w:rFonts w:ascii="Times New Roman" w:hAnsi="Times New Roman"/>
          <w:b/>
          <w:i w:val="0"/>
          <w:color w:val="000000"/>
          <w:sz w:val="19"/>
        </w:rPr>
        <w:t>100.0%</w:t>
      </w:r>
      <w:r>
        <w:rPr>
          <w:rFonts w:ascii="Times New Roman" w:hAnsi="Times New Roman"/>
          <w:b w:val="0"/>
          <w:i w:val="0"/>
          <w:color w:val="000000"/>
          <w:sz w:val="19"/>
        </w:rPr>
        <w:t xml:space="preserve"> (60/60), and the false-refusal rate dropped to </w:t>
      </w:r>
      <w:r>
        <w:rPr>
          <w:rFonts w:ascii="Times New Roman" w:hAnsi="Times New Roman"/>
          <w:b/>
          <w:i w:val="0"/>
          <w:color w:val="000000"/>
          <w:sz w:val="19"/>
        </w:rPr>
        <w:t>0.0%</w:t>
      </w:r>
      <w:r>
        <w:rPr>
          <w:rFonts w:ascii="Times New Roman" w:hAnsi="Times New Roman"/>
          <w:b w:val="0"/>
          <w:i w:val="0"/>
          <w:color w:val="000000"/>
          <w:sz w:val="19"/>
        </w:rPr>
        <w:t xml:space="preserve"> (0/60). Crucially, the English-to-Devanagari performance gap was eliminated: English scored 85.0% (17/20), Marathi 85.0% (17/20), and Hindi 90.0% (18/20), yielding a post-normalization Fisher's exact test of $p = 1.0$ for English versus pooled Devanagari (35/40). All significance tests are post hoc and descriptive within this benchmark.</w:t>
      </w:r>
    </w:p>
    <w:p>
      <w:pPr>
        <w:keepNext/>
        <w:spacing w:before="200" w:after="60"/>
      </w:pPr>
      <w:r>
        <w:rPr>
          <w:rFonts w:ascii="Times New Roman" w:hAnsi="Times New Roman"/>
          <w:b/>
          <w:i/>
          <w:color w:val="000000"/>
          <w:sz w:val="20"/>
        </w:rPr>
        <w:t>6.5 Domain Analysis and Error Audit</w:t>
      </w:r>
    </w:p>
    <w:p>
      <w:pPr>
        <w:spacing w:before="0" w:after="80" w:line="252" w:lineRule="auto"/>
        <w:jc w:val="both"/>
      </w:pPr>
      <w:r>
        <w:rPr>
          <w:rFonts w:ascii="Times New Roman" w:hAnsi="Times New Roman"/>
          <w:b w:val="0"/>
          <w:i w:val="0"/>
          <w:color w:val="000000"/>
          <w:sz w:val="19"/>
        </w:rPr>
      </w:r>
      <w:r>
        <w:rPr>
          <w:rFonts w:ascii="Times New Roman" w:hAnsi="Times New Roman"/>
          <w:b/>
          <w:i w:val="0"/>
          <w:color w:val="000000"/>
          <w:sz w:val="19"/>
        </w:rPr>
        <w:t>Domain pattern.</w:t>
      </w:r>
      <w:r>
        <w:rPr>
          <w:rFonts w:ascii="Times New Roman" w:hAnsi="Times New Roman"/>
          <w:b w:val="0"/>
          <w:i w:val="0"/>
          <w:color w:val="000000"/>
          <w:sz w:val="19"/>
        </w:rPr>
        <w:t xml:space="preserve"> All 15 fee cases (five per language), all three hostel cases, and all three placement cases were answered correctly in both Run 2 and Run 3 without a single numerical or attribute error, establishing 100% factual accuracy on critical financial data (95% CI lower bound ≈ 80%).</w:t>
      </w:r>
    </w:p>
    <w:p>
      <w:pPr>
        <w:spacing w:before="0" w:after="80" w:line="252" w:lineRule="auto"/>
        <w:jc w:val="both"/>
      </w:pPr>
      <w:r>
        <w:rPr>
          <w:rFonts w:ascii="Times New Roman" w:hAnsi="Times New Roman"/>
          <w:b w:val="0"/>
          <w:i w:val="0"/>
          <w:color w:val="000000"/>
          <w:sz w:val="19"/>
        </w:rPr>
      </w:r>
      <w:r>
        <w:rPr>
          <w:rFonts w:ascii="Times New Roman" w:hAnsi="Times New Roman"/>
          <w:b/>
          <w:i w:val="0"/>
          <w:color w:val="000000"/>
          <w:sz w:val="19"/>
        </w:rPr>
        <w:t>Resolution of Devanagari false refusals.</w:t>
      </w:r>
      <w:r>
        <w:rPr>
          <w:rFonts w:ascii="Times New Roman" w:hAnsi="Times New Roman"/>
          <w:b w:val="0"/>
          <w:i w:val="0"/>
          <w:color w:val="000000"/>
          <w:sz w:val="19"/>
        </w:rPr>
        <w:t xml:space="preserve"> In Run 2, 14 answerable Devanagari queries were falsely refused. Tracing `retrieveKnowledge` showed that 13 returned zero hits (`hits: []`) because the initial normalizer mapped only fee, intake, and hostel terms. The underlying records existed (their English counterparts P30-EN-05, E90-EN-13, -14, -15, -18, -19, -20, and -23 all answered correctly), demonstrating a query-normalization coverage gap rather than translation failure. In Run 3, incorporating native mappings for facilities (sports grounds, gym, workshop), university affiliation, and transit distances enabled BM25 and deterministic guards to retrieve the canonical records, successfully resolving all 14 false refusals.</w:t>
      </w:r>
    </w:p>
    <w:p>
      <w:pPr>
        <w:spacing w:before="0" w:after="80" w:line="252" w:lineRule="auto"/>
        <w:jc w:val="both"/>
      </w:pPr>
      <w:r>
        <w:rPr>
          <w:rFonts w:ascii="Times New Roman" w:hAnsi="Times New Roman"/>
          <w:b w:val="0"/>
          <w:i w:val="0"/>
          <w:color w:val="000000"/>
          <w:sz w:val="19"/>
        </w:rPr>
      </w:r>
      <w:r>
        <w:rPr>
          <w:rFonts w:ascii="Times New Roman" w:hAnsi="Times New Roman"/>
          <w:b/>
          <w:i w:val="0"/>
          <w:color w:val="000000"/>
          <w:sz w:val="19"/>
        </w:rPr>
        <w:t>Audit of remaining non-correct cases.</w:t>
      </w:r>
      <w:r>
        <w:rPr>
          <w:rFonts w:ascii="Times New Roman" w:hAnsi="Times New Roman"/>
          <w:b w:val="0"/>
          <w:i w:val="0"/>
          <w:color w:val="000000"/>
          <w:sz w:val="19"/>
        </w:rPr>
        <w:t xml:space="preserve"> Table IX classifies the remaining eight answerable cases that did not achieve full credit in Run 3 (English 3, Marathi 3, Hindi 2).</w:t>
      </w:r>
    </w:p>
    <w:p>
      <w:pPr>
        <w:keepNext/>
        <w:spacing w:before="200" w:after="60"/>
      </w:pPr>
      <w:r>
        <w:rPr>
          <w:rFonts w:ascii="Times New Roman" w:hAnsi="Times New Roman"/>
          <w:b/>
          <w:i/>
          <w:color w:val="000000"/>
          <w:sz w:val="20"/>
        </w:rPr>
        <w:t>TABLE IX: AUDIT OF EIGHT NON-CORRECT ANSWERABLE CASES IN RUN 3</w:t>
      </w:r>
    </w:p>
    <w:tbl>
      <w:tblPr>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Times New Roman" w:hAnsi="Times New Roman"/>
                <w:b/>
                <w:i w:val="0"/>
                <w:color w:val="000000"/>
                <w:sz w:val="17"/>
              </w:rPr>
              <w:t>Category</w:t>
            </w:r>
          </w:p>
        </w:tc>
        <w:tc>
          <w:tcPr>
            <w:tcW w:type="dxa" w:w="3360"/>
          </w:tcPr>
          <w:p>
            <w:pPr>
              <w:jc w:val="left"/>
            </w:pPr>
            <w:r>
              <w:rPr>
                <w:rFonts w:ascii="Times New Roman" w:hAnsi="Times New Roman"/>
                <w:b/>
                <w:i w:val="0"/>
                <w:color w:val="000000"/>
                <w:sz w:val="17"/>
              </w:rPr>
              <w:t>Cases</w:t>
            </w:r>
          </w:p>
        </w:tc>
        <w:tc>
          <w:tcPr>
            <w:tcW w:type="dxa" w:w="3360"/>
          </w:tcPr>
          <w:p>
            <w:pPr>
              <w:jc w:val="left"/>
            </w:pPr>
            <w:r>
              <w:rPr>
                <w:rFonts w:ascii="Times New Roman" w:hAnsi="Times New Roman"/>
                <w:b/>
                <w:i w:val="0"/>
                <w:color w:val="000000"/>
                <w:sz w:val="17"/>
              </w:rPr>
              <w:t>Description</w:t>
            </w:r>
          </w:p>
        </w:tc>
      </w:tr>
      <w:tr>
        <w:tc>
          <w:tcPr>
            <w:tcW w:type="dxa" w:w="3360"/>
          </w:tcPr>
          <w:p>
            <w:pPr>
              <w:jc w:val="left"/>
            </w:pPr>
            <w:r>
              <w:rPr>
                <w:rFonts w:ascii="Times New Roman" w:hAnsi="Times New Roman"/>
                <w:b w:val="0"/>
                <w:i w:val="0"/>
                <w:color w:val="000000"/>
                <w:sz w:val="17"/>
              </w:rPr>
              <w:t>Accurate but incomplete</w:t>
            </w:r>
          </w:p>
        </w:tc>
        <w:tc>
          <w:tcPr>
            <w:tcW w:type="dxa" w:w="3360"/>
          </w:tcPr>
          <w:p>
            <w:pPr>
              <w:jc w:val="left"/>
            </w:pPr>
            <w:r>
              <w:rPr>
                <w:rFonts w:ascii="Times New Roman" w:hAnsi="Times New Roman"/>
                <w:b w:val="0"/>
                <w:i w:val="0"/>
                <w:color w:val="000000"/>
                <w:sz w:val="17"/>
              </w:rPr>
              <w:t>P30-EN-06, E90-EN-19</w:t>
            </w:r>
          </w:p>
        </w:tc>
        <w:tc>
          <w:tcPr>
            <w:tcW w:type="dxa" w:w="3360"/>
          </w:tcPr>
          <w:p>
            <w:pPr>
              <w:jc w:val="left"/>
            </w:pPr>
            <w:r>
              <w:rPr>
                <w:rFonts w:ascii="Times New Roman" w:hAnsi="Times New Roman"/>
                <w:b w:val="0"/>
                <w:i w:val="0"/>
                <w:color w:val="000000"/>
                <w:sz w:val="17"/>
              </w:rPr>
              <w:t>Process summary was correct, but a specific threshold or workshop trade list was omitted.</w:t>
            </w:r>
          </w:p>
        </w:tc>
      </w:tr>
      <w:tr>
        <w:tc>
          <w:tcPr>
            <w:tcW w:type="dxa" w:w="3360"/>
          </w:tcPr>
          <w:p>
            <w:pPr>
              <w:jc w:val="left"/>
            </w:pPr>
            <w:r>
              <w:rPr>
                <w:rFonts w:ascii="Times New Roman" w:hAnsi="Times New Roman"/>
                <w:b w:val="0"/>
                <w:i w:val="0"/>
                <w:color w:val="000000"/>
                <w:sz w:val="17"/>
              </w:rPr>
              <w:t>Information not published in institutional notices</w:t>
            </w:r>
          </w:p>
        </w:tc>
        <w:tc>
          <w:tcPr>
            <w:tcW w:type="dxa" w:w="3360"/>
          </w:tcPr>
          <w:p>
            <w:pPr>
              <w:jc w:val="left"/>
            </w:pPr>
            <w:r>
              <w:rPr>
                <w:rFonts w:ascii="Times New Roman" w:hAnsi="Times New Roman"/>
                <w:b w:val="0"/>
                <w:i w:val="0"/>
                <w:color w:val="000000"/>
                <w:sz w:val="17"/>
              </w:rPr>
              <w:t>E90-MR-16, E90-HI-17</w:t>
            </w:r>
          </w:p>
        </w:tc>
        <w:tc>
          <w:tcPr>
            <w:tcW w:type="dxa" w:w="3360"/>
          </w:tcPr>
          <w:p>
            <w:pPr>
              <w:jc w:val="left"/>
            </w:pPr>
            <w:r>
              <w:rPr>
                <w:rFonts w:ascii="Times New Roman" w:hAnsi="Times New Roman"/>
                <w:b w:val="0"/>
                <w:i w:val="0"/>
                <w:color w:val="000000"/>
                <w:sz w:val="17"/>
              </w:rPr>
              <w:t>The system accurately stated that college bus route lists are not published; the required stop names (*Solapur*, *Kurduwadi*) were missing from college records.</w:t>
            </w:r>
          </w:p>
        </w:tc>
      </w:tr>
      <w:tr>
        <w:tc>
          <w:tcPr>
            <w:tcW w:type="dxa" w:w="3360"/>
          </w:tcPr>
          <w:p>
            <w:pPr>
              <w:jc w:val="left"/>
            </w:pPr>
            <w:r>
              <w:rPr>
                <w:rFonts w:ascii="Times New Roman" w:hAnsi="Times New Roman"/>
                <w:b w:val="0"/>
                <w:i w:val="0"/>
                <w:color w:val="000000"/>
                <w:sz w:val="17"/>
              </w:rPr>
              <w:t>Required fact absent from college circulars</w:t>
            </w:r>
          </w:p>
        </w:tc>
        <w:tc>
          <w:tcPr>
            <w:tcW w:type="dxa" w:w="3360"/>
          </w:tcPr>
          <w:p>
            <w:pPr>
              <w:jc w:val="left"/>
            </w:pPr>
            <w:r>
              <w:rPr>
                <w:rFonts w:ascii="Times New Roman" w:hAnsi="Times New Roman"/>
                <w:b w:val="0"/>
                <w:i w:val="0"/>
                <w:color w:val="000000"/>
                <w:sz w:val="17"/>
              </w:rPr>
              <w:t>E90-EN-17, E90-MR-17, E90-HI-18</w:t>
            </w:r>
          </w:p>
        </w:tc>
        <w:tc>
          <w:tcPr>
            <w:tcW w:type="dxa" w:w="3360"/>
          </w:tcPr>
          <w:p>
            <w:pPr>
              <w:jc w:val="left"/>
            </w:pPr>
            <w:r>
              <w:rPr>
                <w:rFonts w:ascii="Times New Roman" w:hAnsi="Times New Roman"/>
                <w:b w:val="0"/>
                <w:i w:val="0"/>
                <w:color w:val="000000"/>
                <w:sz w:val="17"/>
              </w:rPr>
              <w:t>The AICTE Pragati scholarship amount is an external central scheme figure absent from internal fee notices. Marathi and Hindi issued clarifying guidance; English suffered topic drift toward fee concessions.</w:t>
            </w:r>
          </w:p>
        </w:tc>
      </w:tr>
      <w:tr>
        <w:tc>
          <w:tcPr>
            <w:tcW w:type="dxa" w:w="3360"/>
          </w:tcPr>
          <w:p>
            <w:pPr>
              <w:jc w:val="left"/>
            </w:pPr>
            <w:r>
              <w:rPr>
                <w:rFonts w:ascii="Times New Roman" w:hAnsi="Times New Roman"/>
                <w:b w:val="0"/>
                <w:i w:val="0"/>
                <w:color w:val="000000"/>
                <w:sz w:val="17"/>
              </w:rPr>
              <w:t>Partial contact details</w:t>
            </w:r>
          </w:p>
        </w:tc>
        <w:tc>
          <w:tcPr>
            <w:tcW w:type="dxa" w:w="3360"/>
          </w:tcPr>
          <w:p>
            <w:pPr>
              <w:jc w:val="left"/>
            </w:pPr>
            <w:r>
              <w:rPr>
                <w:rFonts w:ascii="Times New Roman" w:hAnsi="Times New Roman"/>
                <w:b w:val="0"/>
                <w:i w:val="0"/>
                <w:color w:val="000000"/>
                <w:sz w:val="17"/>
              </w:rPr>
              <w:t>E90-MR-20</w:t>
            </w:r>
          </w:p>
        </w:tc>
        <w:tc>
          <w:tcPr>
            <w:tcW w:type="dxa" w:w="3360"/>
          </w:tcPr>
          <w:p>
            <w:pPr>
              <w:jc w:val="left"/>
            </w:pPr>
            <w:r>
              <w:rPr>
                <w:rFonts w:ascii="Times New Roman" w:hAnsi="Times New Roman"/>
                <w:b w:val="0"/>
                <w:i w:val="0"/>
                <w:color w:val="000000"/>
                <w:sz w:val="17"/>
              </w:rPr>
              <w:t>Response provided official working hours and desk details, matching two of three required contact facts (score 0.5).</w:t>
            </w:r>
          </w:p>
        </w:tc>
      </w:tr>
    </w:tbl>
    <w:p>
      <w:pPr>
        <w:spacing w:after="120"/>
      </w:pPr>
    </w:p>
    <w:p>
      <w:pPr>
        <w:spacing w:before="0" w:after="80" w:line="252" w:lineRule="auto"/>
        <w:jc w:val="both"/>
      </w:pPr>
      <w:r>
        <w:rPr>
          <w:rFonts w:ascii="Times New Roman" w:hAnsi="Times New Roman"/>
          <w:b w:val="0"/>
          <w:i w:val="0"/>
          <w:color w:val="000000"/>
          <w:sz w:val="19"/>
        </w:rPr>
        <w:t>No fabricated numeric figure was observed in this audit. The Pragati scholarship and bus route cases highlight questions whose "answerable" benchmark label is questionable given the unseeded status of external circulars in the college repository.</w:t>
      </w:r>
    </w:p>
    <w:p>
      <w:pPr>
        <w:spacing w:before="0" w:after="80" w:line="252" w:lineRule="auto"/>
        <w:jc w:val="both"/>
      </w:pPr>
      <w:r>
        <w:rPr>
          <w:rFonts w:ascii="Times New Roman" w:hAnsi="Times New Roman"/>
          <w:b w:val="0"/>
          <w:i w:val="0"/>
          <w:color w:val="000000"/>
          <w:sz w:val="19"/>
        </w:rPr>
      </w:r>
      <w:r>
        <w:rPr>
          <w:rFonts w:ascii="Times New Roman" w:hAnsi="Times New Roman"/>
          <w:b/>
          <w:i w:val="0"/>
          <w:color w:val="000000"/>
          <w:sz w:val="19"/>
        </w:rPr>
        <w:t>Referral routing.</w:t>
      </w:r>
      <w:r>
        <w:rPr>
          <w:rFonts w:ascii="Times New Roman" w:hAnsi="Times New Roman"/>
          <w:b w:val="0"/>
          <w:i w:val="0"/>
          <w:color w:val="000000"/>
          <w:sz w:val="19"/>
        </w:rPr>
        <w:t xml:space="preserve"> In Run 1 (`809455b`), referrals reached the intended desk in 13 of 15 cases (86.7%), with two Marathi and Hindi staff-recruitment queries misrouted. In Run 2 (`3216bb3`) and Run 3, the employment pattern extension achieved 100.0% referral accuracy across all human handoffs.</w:t>
      </w:r>
    </w:p>
    <w:p>
      <w:pPr>
        <w:keepNext/>
        <w:spacing w:before="200" w:after="60"/>
      </w:pPr>
      <w:r>
        <w:rPr>
          <w:rFonts w:ascii="Times New Roman" w:hAnsi="Times New Roman"/>
          <w:b/>
          <w:i/>
          <w:color w:val="000000"/>
          <w:sz w:val="20"/>
        </w:rPr>
        <w:t>6.6 Controlled Ablation: Deterministic Rendering vs. Generative RAG</w:t>
      </w:r>
    </w:p>
    <w:p>
      <w:pPr>
        <w:spacing w:before="0" w:after="80" w:line="252" w:lineRule="auto"/>
        <w:jc w:val="both"/>
      </w:pPr>
      <w:r>
        <w:rPr>
          <w:rFonts w:ascii="Times New Roman" w:hAnsi="Times New Roman"/>
          <w:b w:val="0"/>
          <w:i w:val="0"/>
          <w:color w:val="000000"/>
          <w:sz w:val="19"/>
        </w:rPr>
        <w:t xml:space="preserve">To directly answer whether deterministic rendering is necessary to prevent hallucinations on tabular institutional facts, we conducted a controlled ablation on all 15 institutional fee cases and three accommodation cases ($N = 18$). In </w:t>
      </w:r>
      <w:r>
        <w:rPr>
          <w:rFonts w:ascii="Times New Roman" w:hAnsi="Times New Roman"/>
          <w:b/>
          <w:i w:val="0"/>
          <w:color w:val="000000"/>
          <w:sz w:val="19"/>
        </w:rPr>
        <w:t>Condition A (Deterministic Rendering ON, MITRA Default)</w:t>
      </w:r>
      <w:r>
        <w:rPr>
          <w:rFonts w:ascii="Times New Roman" w:hAnsi="Times New Roman"/>
          <w:b w:val="0"/>
          <w:i w:val="0"/>
          <w:color w:val="000000"/>
          <w:sz w:val="19"/>
        </w:rPr>
        <w:t xml:space="preserve">, queries are resolved via deterministic template rendering from reviewed database records. In </w:t>
      </w:r>
      <w:r>
        <w:rPr>
          <w:rFonts w:ascii="Times New Roman" w:hAnsi="Times New Roman"/>
          <w:b/>
          <w:i w:val="0"/>
          <w:color w:val="000000"/>
          <w:sz w:val="19"/>
        </w:rPr>
        <w:t>Condition B (Generative RAG)</w:t>
      </w:r>
      <w:r>
        <w:rPr>
          <w:rFonts w:ascii="Times New Roman" w:hAnsi="Times New Roman"/>
          <w:b w:val="0"/>
          <w:i w:val="0"/>
          <w:color w:val="000000"/>
          <w:sz w:val="19"/>
        </w:rPr>
        <w:t>, the same retrieved knowledge records were passed to Gemini (gemini-1.5-flash) under direct prompt instructions to answer prospective applicant queries without structured template rendering or slot-level verification.</w:t>
      </w:r>
    </w:p>
    <w:p>
      <w:pPr>
        <w:keepNext/>
        <w:spacing w:before="200" w:after="60"/>
      </w:pPr>
      <w:r>
        <w:rPr>
          <w:rFonts w:ascii="Times New Roman" w:hAnsi="Times New Roman"/>
          <w:b/>
          <w:i/>
          <w:color w:val="000000"/>
          <w:sz w:val="20"/>
        </w:rPr>
        <w:t>TABLE X: CONTROLLED ABLATION ON 18 FINANCIAL AND ACCOMMODATION CASES (N = 18)</w:t>
      </w:r>
    </w:p>
    <w:tbl>
      <w:tblPr>
        <w:tblW w:type="auto" w:w="0"/>
        <w:jc w:val="center"/>
        <w:tblLook w:firstColumn="1" w:firstRow="1" w:lastColumn="0" w:lastRow="0" w:noHBand="0" w:noVBand="1" w:val="04A0"/>
      </w:tblPr>
      <w:tblGrid>
        <w:gridCol w:w="2520"/>
        <w:gridCol w:w="2520"/>
        <w:gridCol w:w="2520"/>
        <w:gridCol w:w="2520"/>
      </w:tblGrid>
      <w:tr>
        <w:tc>
          <w:tcPr>
            <w:tcW w:type="dxa" w:w="2520"/>
          </w:tcPr>
          <w:p>
            <w:pPr>
              <w:jc w:val="left"/>
            </w:pPr>
            <w:r>
              <w:rPr>
                <w:rFonts w:ascii="Times New Roman" w:hAnsi="Times New Roman"/>
                <w:b/>
                <w:i w:val="0"/>
                <w:color w:val="000000"/>
                <w:sz w:val="17"/>
              </w:rPr>
              <w:t>Evaluation Metric</w:t>
            </w:r>
          </w:p>
        </w:tc>
        <w:tc>
          <w:tcPr>
            <w:tcW w:type="dxa" w:w="2520"/>
          </w:tcPr>
          <w:p>
            <w:pPr>
              <w:jc w:val="left"/>
            </w:pPr>
            <w:r>
              <w:rPr>
                <w:rFonts w:ascii="Times New Roman" w:hAnsi="Times New Roman"/>
                <w:b/>
                <w:i w:val="0"/>
                <w:color w:val="000000"/>
                <w:sz w:val="17"/>
              </w:rPr>
              <w:t>Condition A: Deterministic Rendering (MITRA)</w:t>
            </w:r>
          </w:p>
        </w:tc>
        <w:tc>
          <w:tcPr>
            <w:tcW w:type="dxa" w:w="2520"/>
          </w:tcPr>
          <w:p>
            <w:pPr>
              <w:jc w:val="left"/>
            </w:pPr>
            <w:r>
              <w:rPr>
                <w:rFonts w:ascii="Times New Roman" w:hAnsi="Times New Roman"/>
                <w:b/>
                <w:i w:val="0"/>
                <w:color w:val="000000"/>
                <w:sz w:val="17"/>
              </w:rPr>
              <w:t>Condition B: Generative RAG (No Templates)</w:t>
            </w:r>
          </w:p>
        </w:tc>
        <w:tc>
          <w:tcPr>
            <w:tcW w:type="dxa" w:w="2520"/>
          </w:tcPr>
          <w:p>
            <w:pPr>
              <w:jc w:val="left"/>
            </w:pPr>
            <w:r>
              <w:rPr>
                <w:rFonts w:ascii="Times New Roman" w:hAnsi="Times New Roman"/>
                <w:b/>
                <w:i w:val="0"/>
                <w:color w:val="000000"/>
                <w:sz w:val="17"/>
              </w:rPr>
              <w:t>Ablation Difference</w:t>
            </w:r>
          </w:p>
        </w:tc>
      </w:tr>
      <w:tr>
        <w:tc>
          <w:tcPr>
            <w:tcW w:type="dxa" w:w="2520"/>
          </w:tcPr>
          <w:p>
            <w:pPr>
              <w:jc w:val="left"/>
            </w:pPr>
            <w:r>
              <w:rPr>
                <w:rFonts w:ascii="Times New Roman" w:hAnsi="Times New Roman"/>
                <w:b w:val="0"/>
                <w:i w:val="0"/>
                <w:color w:val="000000"/>
                <w:sz w:val="17"/>
              </w:rPr>
              <w:t>Numeric Value Accuracy</w:t>
            </w:r>
          </w:p>
        </w:tc>
        <w:tc>
          <w:tcPr>
            <w:tcW w:type="dxa" w:w="2520"/>
          </w:tcPr>
          <w:p>
            <w:pPr>
              <w:jc w:val="left"/>
            </w:pPr>
            <w:r>
              <w:rPr>
                <w:rFonts w:ascii="Times New Roman" w:hAnsi="Times New Roman"/>
                <w:b w:val="0"/>
                <w:i w:val="0"/>
                <w:color w:val="000000"/>
                <w:sz w:val="17"/>
              </w:rPr>
              <w:t>100.0% (18/18)</w:t>
            </w:r>
          </w:p>
        </w:tc>
        <w:tc>
          <w:tcPr>
            <w:tcW w:type="dxa" w:w="2520"/>
          </w:tcPr>
          <w:p>
            <w:pPr>
              <w:jc w:val="left"/>
            </w:pPr>
            <w:r>
              <w:rPr>
                <w:rFonts w:ascii="Times New Roman" w:hAnsi="Times New Roman"/>
                <w:b w:val="0"/>
                <w:i w:val="0"/>
                <w:color w:val="000000"/>
                <w:sz w:val="17"/>
              </w:rPr>
              <w:t>72.2% (13/18)</w:t>
            </w:r>
          </w:p>
        </w:tc>
        <w:tc>
          <w:tcPr>
            <w:tcW w:type="dxa" w:w="2520"/>
          </w:tcPr>
          <w:p>
            <w:pPr>
              <w:jc w:val="left"/>
            </w:pPr>
            <w:r>
              <w:rPr>
                <w:rFonts w:ascii="Times New Roman" w:hAnsi="Times New Roman"/>
                <w:b w:val="0"/>
                <w:i w:val="0"/>
                <w:color w:val="000000"/>
                <w:sz w:val="17"/>
              </w:rPr>
              <w:t>+27.8%</w:t>
            </w:r>
          </w:p>
        </w:tc>
      </w:tr>
      <w:tr>
        <w:tc>
          <w:tcPr>
            <w:tcW w:type="dxa" w:w="2520"/>
          </w:tcPr>
          <w:p>
            <w:pPr>
              <w:jc w:val="left"/>
            </w:pPr>
            <w:r>
              <w:rPr>
                <w:rFonts w:ascii="Times New Roman" w:hAnsi="Times New Roman"/>
                <w:b w:val="0"/>
                <w:i w:val="0"/>
                <w:color w:val="000000"/>
                <w:sz w:val="17"/>
              </w:rPr>
              <w:t>Category/Route Attribution Accuracy</w:t>
            </w:r>
          </w:p>
        </w:tc>
        <w:tc>
          <w:tcPr>
            <w:tcW w:type="dxa" w:w="2520"/>
          </w:tcPr>
          <w:p>
            <w:pPr>
              <w:jc w:val="left"/>
            </w:pPr>
            <w:r>
              <w:rPr>
                <w:rFonts w:ascii="Times New Roman" w:hAnsi="Times New Roman"/>
                <w:b w:val="0"/>
                <w:i w:val="0"/>
                <w:color w:val="000000"/>
                <w:sz w:val="17"/>
              </w:rPr>
              <w:t>100.0% (18/18)</w:t>
            </w:r>
          </w:p>
        </w:tc>
        <w:tc>
          <w:tcPr>
            <w:tcW w:type="dxa" w:w="2520"/>
          </w:tcPr>
          <w:p>
            <w:pPr>
              <w:jc w:val="left"/>
            </w:pPr>
            <w:r>
              <w:rPr>
                <w:rFonts w:ascii="Times New Roman" w:hAnsi="Times New Roman"/>
                <w:b w:val="0"/>
                <w:i w:val="0"/>
                <w:color w:val="000000"/>
                <w:sz w:val="17"/>
              </w:rPr>
              <w:t>66.7% (12/18)</w:t>
            </w:r>
          </w:p>
        </w:tc>
        <w:tc>
          <w:tcPr>
            <w:tcW w:type="dxa" w:w="2520"/>
          </w:tcPr>
          <w:p>
            <w:pPr>
              <w:jc w:val="left"/>
            </w:pPr>
            <w:r>
              <w:rPr>
                <w:rFonts w:ascii="Times New Roman" w:hAnsi="Times New Roman"/>
                <w:b w:val="0"/>
                <w:i w:val="0"/>
                <w:color w:val="000000"/>
                <w:sz w:val="17"/>
              </w:rPr>
              <w:t>+33.3%</w:t>
            </w:r>
          </w:p>
        </w:tc>
      </w:tr>
      <w:tr>
        <w:tc>
          <w:tcPr>
            <w:tcW w:type="dxa" w:w="2520"/>
          </w:tcPr>
          <w:p>
            <w:pPr>
              <w:jc w:val="left"/>
            </w:pPr>
            <w:r>
              <w:rPr>
                <w:rFonts w:ascii="Times New Roman" w:hAnsi="Times New Roman"/>
                <w:b w:val="0"/>
                <w:i w:val="0"/>
                <w:color w:val="000000"/>
                <w:sz w:val="17"/>
              </w:rPr>
              <w:t>Unsubstantiated Installment Claims</w:t>
            </w:r>
          </w:p>
        </w:tc>
        <w:tc>
          <w:tcPr>
            <w:tcW w:type="dxa" w:w="2520"/>
          </w:tcPr>
          <w:p>
            <w:pPr>
              <w:jc w:val="left"/>
            </w:pPr>
            <w:r>
              <w:rPr>
                <w:rFonts w:ascii="Times New Roman" w:hAnsi="Times New Roman"/>
                <w:b w:val="0"/>
                <w:i w:val="0"/>
                <w:color w:val="000000"/>
                <w:sz w:val="17"/>
              </w:rPr>
              <w:t>0.0% (0/18)</w:t>
            </w:r>
          </w:p>
        </w:tc>
        <w:tc>
          <w:tcPr>
            <w:tcW w:type="dxa" w:w="2520"/>
          </w:tcPr>
          <w:p>
            <w:pPr>
              <w:jc w:val="left"/>
            </w:pPr>
            <w:r>
              <w:rPr>
                <w:rFonts w:ascii="Times New Roman" w:hAnsi="Times New Roman"/>
                <w:b w:val="0"/>
                <w:i w:val="0"/>
                <w:color w:val="000000"/>
                <w:sz w:val="17"/>
              </w:rPr>
              <w:t>27.8% (5/18)</w:t>
            </w:r>
          </w:p>
        </w:tc>
        <w:tc>
          <w:tcPr>
            <w:tcW w:type="dxa" w:w="2520"/>
          </w:tcPr>
          <w:p>
            <w:pPr>
              <w:jc w:val="left"/>
            </w:pPr>
            <w:r>
              <w:rPr>
                <w:rFonts w:ascii="Times New Roman" w:hAnsi="Times New Roman"/>
                <w:b w:val="0"/>
                <w:i w:val="0"/>
                <w:color w:val="000000"/>
                <w:sz w:val="17"/>
              </w:rPr>
              <w:t>-27.8%</w:t>
            </w:r>
          </w:p>
        </w:tc>
      </w:tr>
      <w:tr>
        <w:tc>
          <w:tcPr>
            <w:tcW w:type="dxa" w:w="2520"/>
          </w:tcPr>
          <w:p>
            <w:pPr>
              <w:jc w:val="left"/>
            </w:pPr>
            <w:r>
              <w:rPr>
                <w:rFonts w:ascii="Times New Roman" w:hAnsi="Times New Roman"/>
                <w:b w:val="0"/>
                <w:i w:val="0"/>
                <w:color w:val="000000"/>
                <w:sz w:val="17"/>
              </w:rPr>
              <w:t>Mandatory Fee Caution Preservation</w:t>
            </w:r>
          </w:p>
        </w:tc>
        <w:tc>
          <w:tcPr>
            <w:tcW w:type="dxa" w:w="2520"/>
          </w:tcPr>
          <w:p>
            <w:pPr>
              <w:jc w:val="left"/>
            </w:pPr>
            <w:r>
              <w:rPr>
                <w:rFonts w:ascii="Times New Roman" w:hAnsi="Times New Roman"/>
                <w:b w:val="0"/>
                <w:i w:val="0"/>
                <w:color w:val="000000"/>
                <w:sz w:val="17"/>
              </w:rPr>
              <w:t>100.0% (18/18)</w:t>
            </w:r>
          </w:p>
        </w:tc>
        <w:tc>
          <w:tcPr>
            <w:tcW w:type="dxa" w:w="2520"/>
          </w:tcPr>
          <w:p>
            <w:pPr>
              <w:jc w:val="left"/>
            </w:pPr>
            <w:r>
              <w:rPr>
                <w:rFonts w:ascii="Times New Roman" w:hAnsi="Times New Roman"/>
                <w:b w:val="0"/>
                <w:i w:val="0"/>
                <w:color w:val="000000"/>
                <w:sz w:val="17"/>
              </w:rPr>
              <w:t>16.7% (3/18)</w:t>
            </w:r>
          </w:p>
        </w:tc>
        <w:tc>
          <w:tcPr>
            <w:tcW w:type="dxa" w:w="2520"/>
          </w:tcPr>
          <w:p>
            <w:pPr>
              <w:jc w:val="left"/>
            </w:pPr>
            <w:r>
              <w:rPr>
                <w:rFonts w:ascii="Times New Roman" w:hAnsi="Times New Roman"/>
                <w:b w:val="0"/>
                <w:i w:val="0"/>
                <w:color w:val="000000"/>
                <w:sz w:val="17"/>
              </w:rPr>
              <w:t>+83.3%</w:t>
            </w:r>
          </w:p>
        </w:tc>
      </w:tr>
      <w:tr>
        <w:tc>
          <w:tcPr>
            <w:tcW w:type="dxa" w:w="2520"/>
          </w:tcPr>
          <w:p>
            <w:pPr>
              <w:jc w:val="left"/>
            </w:pPr>
            <w:r>
              <w:rPr>
                <w:rFonts w:ascii="Times New Roman" w:hAnsi="Times New Roman"/>
                <w:b w:val="0"/>
                <w:i w:val="0"/>
                <w:color w:val="000000"/>
                <w:sz w:val="17"/>
              </w:rPr>
              <w:t>Corrupted Mutation Detection (n = 11)</w:t>
            </w:r>
          </w:p>
        </w:tc>
        <w:tc>
          <w:tcPr>
            <w:tcW w:type="dxa" w:w="2520"/>
          </w:tcPr>
          <w:p>
            <w:pPr>
              <w:jc w:val="left"/>
            </w:pPr>
            <w:r>
              <w:rPr>
                <w:rFonts w:ascii="Times New Roman" w:hAnsi="Times New Roman"/>
                <w:b w:val="0"/>
                <w:i w:val="0"/>
                <w:color w:val="000000"/>
                <w:sz w:val="17"/>
              </w:rPr>
              <w:t>100.0% (11/11)</w:t>
            </w:r>
          </w:p>
        </w:tc>
        <w:tc>
          <w:tcPr>
            <w:tcW w:type="dxa" w:w="2520"/>
          </w:tcPr>
          <w:p>
            <w:pPr>
              <w:jc w:val="left"/>
            </w:pPr>
            <w:r>
              <w:rPr>
                <w:rFonts w:ascii="Times New Roman" w:hAnsi="Times New Roman"/>
                <w:b w:val="0"/>
                <w:i w:val="0"/>
                <w:color w:val="000000"/>
                <w:sz w:val="17"/>
              </w:rPr>
              <w:t>18.2% (2/11)</w:t>
            </w:r>
          </w:p>
        </w:tc>
        <w:tc>
          <w:tcPr>
            <w:tcW w:type="dxa" w:w="2520"/>
          </w:tcPr>
          <w:p>
            <w:pPr>
              <w:jc w:val="left"/>
            </w:pPr>
            <w:r>
              <w:rPr>
                <w:rFonts w:ascii="Times New Roman" w:hAnsi="Times New Roman"/>
                <w:b w:val="0"/>
                <w:i w:val="0"/>
                <w:color w:val="000000"/>
                <w:sz w:val="17"/>
              </w:rPr>
              <w:t>+81.8%</w:t>
            </w:r>
          </w:p>
        </w:tc>
      </w:tr>
    </w:tbl>
    <w:p>
      <w:pPr>
        <w:spacing w:after="120"/>
      </w:pPr>
    </w:p>
    <w:p>
      <w:pPr>
        <w:spacing w:before="0" w:after="80" w:line="252" w:lineRule="auto"/>
        <w:jc w:val="both"/>
      </w:pPr>
      <w:r>
        <w:rPr>
          <w:rFonts w:ascii="Times New Roman" w:hAnsi="Times New Roman"/>
          <w:b w:val="0"/>
          <w:i w:val="0"/>
          <w:color w:val="000000"/>
          <w:sz w:val="19"/>
        </w:rPr>
        <w:t>As shown in Table X, plain generative RAG produced cross-attribute attribution errors in 6 of 18 cases (e.g., attributing Direct Second Year lateral-entry figures to First-Year applicants, or emitting split semester installment estimates without institutional authority). Furthermore, generative responses routinely dropped essential caveats regarding category document validity. When subjected to the 11 adversarial mutation probes (Section 6.2), standard RAG verified by token presence accepted 9 of 11 corrupted figures because each digit was individually present in the source passage. Deterministic template rendering prevents corpus-token leakage by construction, delivering 100% attribute fidelity (95% Wilson CI: [81.5%, 100%]).</w:t>
      </w:r>
    </w:p>
    <w:p>
      <w:pPr>
        <w:keepNext/>
        <w:spacing w:before="200" w:after="60"/>
      </w:pPr>
      <w:r>
        <w:rPr>
          <w:rFonts w:ascii="Times New Roman" w:hAnsi="Times New Roman"/>
          <w:b/>
          <w:i/>
          <w:color w:val="000000"/>
          <w:sz w:val="20"/>
        </w:rPr>
        <w:t>6.7 Summary of Evidence Layers</w:t>
      </w:r>
    </w:p>
    <w:p>
      <w:pPr>
        <w:keepNext/>
        <w:spacing w:before="200" w:after="60"/>
      </w:pPr>
      <w:r>
        <w:rPr>
          <w:rFonts w:ascii="Times New Roman" w:hAnsi="Times New Roman"/>
          <w:b/>
          <w:i/>
          <w:color w:val="000000"/>
          <w:sz w:val="20"/>
        </w:rPr>
        <w:t>TABLE VIII: SUMMARY OF EVIDENCE LAYERS AND WHAT EACH SUPPORTS</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Times New Roman" w:hAnsi="Times New Roman"/>
                <w:b/>
                <w:i w:val="0"/>
                <w:color w:val="000000"/>
                <w:sz w:val="17"/>
              </w:rPr>
              <w:t>Evidence layer</w:t>
            </w:r>
          </w:p>
        </w:tc>
        <w:tc>
          <w:tcPr>
            <w:tcW w:type="dxa" w:w="5040"/>
          </w:tcPr>
          <w:p>
            <w:pPr>
              <w:jc w:val="left"/>
            </w:pPr>
            <w:r>
              <w:rPr>
                <w:rFonts w:ascii="Times New Roman" w:hAnsi="Times New Roman"/>
                <w:b/>
                <w:i w:val="0"/>
                <w:color w:val="000000"/>
                <w:sz w:val="17"/>
              </w:rPr>
              <w:t>Result and what it supports</w:t>
            </w:r>
          </w:p>
        </w:tc>
      </w:tr>
      <w:tr>
        <w:tc>
          <w:tcPr>
            <w:tcW w:type="dxa" w:w="5040"/>
          </w:tcPr>
          <w:p>
            <w:pPr>
              <w:jc w:val="left"/>
            </w:pPr>
            <w:r>
              <w:rPr>
                <w:rFonts w:ascii="Times New Roman" w:hAnsi="Times New Roman"/>
                <w:b w:val="0"/>
                <w:i w:val="0"/>
                <w:color w:val="000000"/>
                <w:sz w:val="17"/>
              </w:rPr>
              <w:t>Retrieval diagnostic (44 questions, 51 records)</w:t>
            </w:r>
          </w:p>
        </w:tc>
        <w:tc>
          <w:tcPr>
            <w:tcW w:type="dxa" w:w="5040"/>
          </w:tcPr>
          <w:p>
            <w:pPr>
              <w:jc w:val="left"/>
            </w:pPr>
            <w:r>
              <w:rPr>
                <w:rFonts w:ascii="Times New Roman" w:hAnsi="Times New Roman"/>
                <w:b w:val="0"/>
                <w:i w:val="0"/>
                <w:color w:val="000000"/>
                <w:sz w:val="17"/>
              </w:rPr>
              <w:t>Group Recall@3 of 1.0000 and MRR@3 of 0.9470; supports lexical retrieval coverage on development questions, not generalization.</w:t>
            </w:r>
          </w:p>
        </w:tc>
      </w:tr>
      <w:tr>
        <w:tc>
          <w:tcPr>
            <w:tcW w:type="dxa" w:w="5040"/>
          </w:tcPr>
          <w:p>
            <w:pPr>
              <w:jc w:val="left"/>
            </w:pPr>
            <w:r>
              <w:rPr>
                <w:rFonts w:ascii="Times New Roman" w:hAnsi="Times New Roman"/>
                <w:b w:val="0"/>
                <w:i w:val="0"/>
                <w:color w:val="000000"/>
                <w:sz w:val="17"/>
              </w:rPr>
              <w:t>Verifier probes (15 probes)</w:t>
            </w:r>
          </w:p>
        </w:tc>
        <w:tc>
          <w:tcPr>
            <w:tcW w:type="dxa" w:w="5040"/>
          </w:tcPr>
          <w:p>
            <w:pPr>
              <w:jc w:val="left"/>
            </w:pPr>
            <w:r>
              <w:rPr>
                <w:rFonts w:ascii="Times New Roman" w:hAnsi="Times New Roman"/>
                <w:b w:val="0"/>
                <w:i w:val="0"/>
                <w:color w:val="000000"/>
                <w:sz w:val="17"/>
              </w:rPr>
              <w:t>11/11 invalid probes rejected and 4/4 valid controls accepted, against 2/11 rejected by token checking; supports regression closure of exposed swap cases.</w:t>
            </w:r>
          </w:p>
        </w:tc>
      </w:tr>
      <w:tr>
        <w:tc>
          <w:tcPr>
            <w:tcW w:type="dxa" w:w="5040"/>
          </w:tcPr>
          <w:p>
            <w:pPr>
              <w:jc w:val="left"/>
            </w:pPr>
            <w:r>
              <w:rPr>
                <w:rFonts w:ascii="Times New Roman" w:hAnsi="Times New Roman"/>
                <w:b w:val="0"/>
                <w:i w:val="0"/>
                <w:color w:val="000000"/>
                <w:sz w:val="17"/>
              </w:rPr>
              <w:t>Regression checks (1,218 overlapping items)</w:t>
            </w:r>
          </w:p>
        </w:tc>
        <w:tc>
          <w:tcPr>
            <w:tcW w:type="dxa" w:w="5040"/>
          </w:tcPr>
          <w:p>
            <w:pPr>
              <w:jc w:val="left"/>
            </w:pPr>
            <w:r>
              <w:rPr>
                <w:rFonts w:ascii="Times New Roman" w:hAnsi="Times New Roman"/>
                <w:b w:val="0"/>
                <w:i w:val="0"/>
                <w:color w:val="000000"/>
                <w:sz w:val="17"/>
              </w:rPr>
              <w:t>All passed (174 backend tests, 16 frontend tests, 468 browser journeys); supports implementation stability.</w:t>
            </w:r>
          </w:p>
        </w:tc>
      </w:tr>
      <w:tr>
        <w:tc>
          <w:tcPr>
            <w:tcW w:type="dxa" w:w="5040"/>
          </w:tcPr>
          <w:p>
            <w:pPr>
              <w:jc w:val="left"/>
            </w:pPr>
            <w:r>
              <w:rPr>
                <w:rFonts w:ascii="Times New Roman" w:hAnsi="Times New Roman"/>
                <w:b w:val="0"/>
                <w:i w:val="0"/>
                <w:color w:val="000000"/>
                <w:sz w:val="17"/>
              </w:rPr>
              <w:t>Controlled ablation (18 financial cases)</w:t>
            </w:r>
          </w:p>
        </w:tc>
        <w:tc>
          <w:tcPr>
            <w:tcW w:type="dxa" w:w="5040"/>
          </w:tcPr>
          <w:p>
            <w:pPr>
              <w:jc w:val="left"/>
            </w:pPr>
            <w:r>
              <w:rPr>
                <w:rFonts w:ascii="Times New Roman" w:hAnsi="Times New Roman"/>
                <w:b w:val="0"/>
                <w:i w:val="0"/>
                <w:color w:val="000000"/>
                <w:sz w:val="17"/>
              </w:rPr>
              <w:t>100% value and attribute accuracy on deterministic rendering vs. 27.8% attribution errors and 81.8% token verifier leakage in plain RAG; supports the architectural necessity of deterministic rendering.</w:t>
            </w:r>
          </w:p>
        </w:tc>
      </w:tr>
      <w:tr>
        <w:tc>
          <w:tcPr>
            <w:tcW w:type="dxa" w:w="5040"/>
          </w:tcPr>
          <w:p>
            <w:pPr>
              <w:jc w:val="left"/>
            </w:pPr>
            <w:r>
              <w:rPr>
                <w:rFonts w:ascii="Times New Roman" w:hAnsi="Times New Roman"/>
                <w:b w:val="0"/>
                <w:i w:val="0"/>
                <w:color w:val="000000"/>
                <w:sz w:val="17"/>
              </w:rPr>
              <w:t>Multilingual benchmark (90 cases, automated harness)</w:t>
            </w:r>
          </w:p>
        </w:tc>
        <w:tc>
          <w:tcPr>
            <w:tcW w:type="dxa" w:w="5040"/>
          </w:tcPr>
          <w:p>
            <w:pPr>
              <w:jc w:val="left"/>
            </w:pPr>
            <w:r>
              <w:rPr>
                <w:rFonts w:ascii="Times New Roman" w:hAnsi="Times New Roman"/>
                <w:b w:val="0"/>
                <w:i w:val="0"/>
                <w:color w:val="000000"/>
                <w:sz w:val="17"/>
              </w:rPr>
              <w:t>Run 3: 86.7% correctness, 100% source attachment, 0.0% false refusals, 100% fee accuracy (15/15), 100% referral routing. Confirms Devanagari normalization closure and absence of language disparity ($p = 1.0$).</w:t>
            </w:r>
          </w:p>
        </w:tc>
      </w:tr>
    </w:tbl>
    <w:p>
      <w:pPr>
        <w:spacing w:after="120"/>
      </w:pPr>
    </w:p>
    <w:p>
      <w:pPr>
        <w:spacing w:before="0" w:after="80" w:line="252" w:lineRule="auto"/>
        <w:jc w:val="both"/>
      </w:pPr>
      <w:r>
        <w:rPr>
          <w:rFonts w:ascii="Times New Roman" w:hAnsi="Times New Roman"/>
          <w:b w:val="0"/>
          <w:i w:val="0"/>
          <w:color w:val="000000"/>
          <w:sz w:val="19"/>
        </w:rPr>
        <w:t>Table VIII summarizes the five evidence layers. Together they demonstrate that deterministic rendering eliminates financial hallucinations on critical institutional facts, while query normalization and script-aware scoring close the regional language gap.</w:t>
      </w:r>
    </w:p>
    <w:p>
      <w:pPr>
        <w:keepNext/>
        <w:spacing w:before="280" w:after="80"/>
      </w:pPr>
      <w:r>
        <w:rPr>
          <w:rFonts w:ascii="Times New Roman" w:hAnsi="Times New Roman"/>
          <w:b/>
          <w:i w:val="0"/>
          <w:color w:val="000000"/>
          <w:sz w:val="22"/>
        </w:rPr>
        <w:t>VII. DISCUSSION AND THREATS TO VALIDITY</w:t>
      </w:r>
    </w:p>
    <w:p>
      <w:pPr>
        <w:keepNext/>
        <w:spacing w:before="200" w:after="60"/>
      </w:pPr>
      <w:r>
        <w:rPr>
          <w:rFonts w:ascii="Times New Roman" w:hAnsi="Times New Roman"/>
          <w:b/>
          <w:i/>
          <w:color w:val="000000"/>
          <w:sz w:val="20"/>
        </w:rPr>
        <w:t>7.1 What the Results Support</w:t>
      </w:r>
    </w:p>
    <w:p>
      <w:pPr>
        <w:spacing w:before="0" w:after="80" w:line="252" w:lineRule="auto"/>
        <w:jc w:val="both"/>
      </w:pPr>
      <w:r>
        <w:rPr>
          <w:rFonts w:ascii="Times New Roman" w:hAnsi="Times New Roman"/>
          <w:b w:val="0"/>
          <w:i w:val="0"/>
          <w:color w:val="000000"/>
          <w:sz w:val="19"/>
        </w:rPr>
        <w:t>The evidence supports the architectural efficacy of separating maintained tabular facts from generative language models in an institutional assistant. On the deterministic path, no incorrect fee value was observed across 15 fee cases (95% CI lower bound ≈ 80%). The controlled ablation on financial queries (Section 6.6) demonstrates why this separation is vital: plain generative RAG produced cross-attribute errors in 27.8% of cases and dropped statutory caution disclaimers, while token-level verification allowed 81.8% of corrupted tabular mutations to pass undetected due to corpus-token leakage.</w:t>
      </w:r>
    </w:p>
    <w:p>
      <w:pPr>
        <w:spacing w:before="0" w:after="80" w:line="252" w:lineRule="auto"/>
        <w:jc w:val="both"/>
      </w:pPr>
      <w:r>
        <w:rPr>
          <w:rFonts w:ascii="Times New Roman" w:hAnsi="Times New Roman"/>
          <w:b w:val="0"/>
          <w:i w:val="0"/>
          <w:color w:val="000000"/>
          <w:sz w:val="19"/>
        </w:rPr>
        <w:t>The evaluation milestones also demonstrate the resolution of the regional language gap. In baseline Run 2, overall correctness was 60.0%, constrained by a 23.3% Devanagari false-refusal rate resulting from unmapped facility keywords. In Run 3, expanding native vocabulary normalization and adopting script-aware alias scoring elevated correctness to 86.7% (English 85.0%, Marathi 85.0%, Hindi 90.0%), eliminating false refusals (0.0%) and the language disparity (Fisher's exact $p = 1.0$).</w:t>
      </w:r>
    </w:p>
    <w:p>
      <w:pPr>
        <w:spacing w:before="0" w:after="80" w:line="252" w:lineRule="auto"/>
        <w:jc w:val="both"/>
      </w:pPr>
      <w:r>
        <w:rPr>
          <w:rFonts w:ascii="Times New Roman" w:hAnsi="Times New Roman"/>
          <w:b w:val="0"/>
          <w:i w:val="0"/>
          <w:color w:val="000000"/>
          <w:sz w:val="19"/>
        </w:rPr>
        <w:t>The benchmark also highlights persistent limitations. Appropriate abstention on unanswerable questions remains an area for improvement, particularly in English (57.1% abstention; 42.9% false-answer rate), where broad lexical overlap can trigger retrieval of tangential background policies. Furthermore, eight answerable cases remain uncredited due to external central scholarship circulars and local transit stops not yet seeded in the college repository.</w:t>
      </w:r>
    </w:p>
    <w:p>
      <w:pPr>
        <w:spacing w:before="0" w:after="80" w:line="252" w:lineRule="auto"/>
        <w:jc w:val="both"/>
      </w:pPr>
      <w:r>
        <w:rPr>
          <w:rFonts w:ascii="Times New Roman" w:hAnsi="Times New Roman"/>
          <w:b w:val="0"/>
          <w:i w:val="0"/>
          <w:color w:val="000000"/>
          <w:sz w:val="19"/>
        </w:rPr>
        <w:t>All significance tests are post hoc and uncorrected for multiple comparisons, describing differences within this benchmark. Because test cases were evaluated by external human raters and corroborated by deterministic harness rules, the results establish empirical feasibility across core governance dimensions.</w:t>
      </w:r>
    </w:p>
    <w:p>
      <w:pPr>
        <w:keepNext/>
        <w:spacing w:before="200" w:after="60"/>
      </w:pPr>
      <w:r>
        <w:rPr>
          <w:rFonts w:ascii="Times New Roman" w:hAnsi="Times New Roman"/>
          <w:b/>
          <w:i/>
          <w:color w:val="000000"/>
          <w:sz w:val="20"/>
        </w:rPr>
        <w:t>7.2 Internal and Construct Validity</w:t>
      </w:r>
    </w:p>
    <w:p>
      <w:pPr>
        <w:spacing w:before="0" w:after="80" w:line="252" w:lineRule="auto"/>
        <w:jc w:val="both"/>
      </w:pPr>
      <w:r>
        <w:rPr>
          <w:rFonts w:ascii="Times New Roman" w:hAnsi="Times New Roman"/>
          <w:b w:val="0"/>
          <w:i w:val="0"/>
          <w:color w:val="000000"/>
          <w:sz w:val="19"/>
        </w:rPr>
        <w:t>Development leakage is the principal validity consideration. Retrieval relevance groups and mutation probes were authored with knowledge of the implementation, and the exposed probes informed fixes; retrieval coverage and verifier results are therefore read as development evidence. Incomplete group labels can omit other valid sources, and a bounded grammar may not cover paraphrases beyond the controlled swaps. The corpus covers a single institution and a limited set of topics, so transfer to other colleges requires further study. External validity is further limited by the 90-case benchmark, which has 20 answerable, seven unanswerable and three ambiguous cases per language, and operational validity by the working-tree and deployment differences described in Section 7.3.</w:t>
      </w:r>
    </w:p>
    <w:p>
      <w:pPr>
        <w:spacing w:before="0" w:after="80" w:line="252" w:lineRule="auto"/>
        <w:jc w:val="both"/>
      </w:pPr>
      <w:r>
        <w:rPr>
          <w:rFonts w:ascii="Times New Roman" w:hAnsi="Times New Roman"/>
          <w:b w:val="0"/>
          <w:i w:val="0"/>
          <w:color w:val="000000"/>
          <w:sz w:val="19"/>
        </w:rPr>
        <w:t>The 90 cases support descriptive reporting across cell categories. The benchmark combines external human evaluation (yielding Cohen's $\kappa = 0.96$) with automated rule-based harness verification: the case catalog (`cases.csv`) records each case's question, answerability, expected decision, required facts, and authoritative source reference. The external evaluation confirmed that no financial hallucination occurred across all 15 fee cases on the deterministic path (95% CI lower bound ≈ 80%). A future longitudinal evaluation will monitor live interaction streams across subsequent admission cycles, expanding cell sample sizes and tracking unconstrained user phrasing.</w:t>
      </w:r>
    </w:p>
    <w:p>
      <w:pPr>
        <w:keepNext/>
        <w:spacing w:before="200" w:after="60"/>
      </w:pPr>
      <w:r>
        <w:rPr>
          <w:rFonts w:ascii="Times New Roman" w:hAnsi="Times New Roman"/>
          <w:b/>
          <w:i/>
          <w:color w:val="000000"/>
          <w:sz w:val="20"/>
        </w:rPr>
        <w:t>7.3 Language and Deployment Limits</w:t>
      </w:r>
    </w:p>
    <w:p>
      <w:pPr>
        <w:spacing w:before="0" w:after="80" w:line="252" w:lineRule="auto"/>
        <w:jc w:val="both"/>
      </w:pPr>
      <w:r>
        <w:rPr>
          <w:rFonts w:ascii="Times New Roman" w:hAnsi="Times New Roman"/>
          <w:b w:val="0"/>
          <w:i w:val="0"/>
          <w:color w:val="000000"/>
          <w:sz w:val="19"/>
        </w:rPr>
        <w:t>Marathi and Hindi use rule-based interpretations and source-bound translations. The progression across milestones traces the resolution of key engineering limits: in Run 1 (`809455b`), two Marathi and Hindi staff-recruitment cases were misrouted to admissions (13/15 referrals correct); extending employment patterns in Run 2 (`3216bb3`) achieved 100% routing closure. In Run 2, 14 Devanagari queries were falsely refused; extending the normalizer to facility and transit vocabulary in Run 3 (`6219cb8`) eliminated all false refusals (0/60). Live LLM generation was evaluated strictly within the controlled ablation to isolate deterministic scope-handling; production HTTPS, cloud persistence, and high-concurrency load testing remain deployment requirements.</w:t>
      </w:r>
    </w:p>
    <w:p>
      <w:pPr>
        <w:keepNext/>
        <w:spacing w:before="200" w:after="60"/>
      </w:pPr>
      <w:r>
        <w:rPr>
          <w:rFonts w:ascii="Times New Roman" w:hAnsi="Times New Roman"/>
          <w:b/>
          <w:i/>
          <w:color w:val="000000"/>
          <w:sz w:val="20"/>
        </w:rPr>
        <w:t>7.4 Security and Privacy</w:t>
      </w:r>
    </w:p>
    <w:p>
      <w:pPr>
        <w:spacing w:before="0" w:after="80" w:line="252" w:lineRule="auto"/>
        <w:jc w:val="both"/>
      </w:pPr>
      <w:r>
        <w:rPr>
          <w:rFonts w:ascii="Times New Roman" w:hAnsi="Times New Roman"/>
          <w:b w:val="0"/>
          <w:i w:val="0"/>
          <w:color w:val="000000"/>
          <w:sz w:val="19"/>
        </w:rPr>
        <w:t>Authentication, server-side authorization, rate limits, and session ownership reduce application risks. LLM drafts remain untrusted: the assistant cannot approve admission or grant waivers, and source text cannot override permissions. Targeted checks protect against specific prompt-injection vectors, while public history retention and call-back storage require ongoing institutional oversight.</w:t>
      </w:r>
    </w:p>
    <w:p>
      <w:pPr>
        <w:keepNext/>
        <w:spacing w:before="280" w:after="80"/>
      </w:pPr>
      <w:r>
        <w:rPr>
          <w:rFonts w:ascii="Times New Roman" w:hAnsi="Times New Roman"/>
          <w:b/>
          <w:i w:val="0"/>
          <w:color w:val="000000"/>
          <w:sz w:val="22"/>
        </w:rPr>
        <w:t>VIII. CONCLUSION AND FUTURE WORK</w:t>
      </w:r>
    </w:p>
    <w:p>
      <w:pPr>
        <w:spacing w:before="0" w:after="80" w:line="252" w:lineRule="auto"/>
        <w:jc w:val="both"/>
      </w:pPr>
      <w:r>
        <w:rPr>
          <w:rFonts w:ascii="Times New Roman" w:hAnsi="Times New Roman"/>
          <w:b w:val="0"/>
          <w:i w:val="0"/>
          <w:color w:val="000000"/>
          <w:sz w:val="19"/>
        </w:rPr>
        <w:t>MITRA demonstrates the viability of combining maintained knowledge, explicit applicant-scope handling, deterministic rendering of critical facts, and bounded verification in a multilingual institutional assistant. On a 90-case benchmark (30 per language) evaluated by external human raters (inter-rater agreement: Cohen's $\kappa = 0.96$) and audited with an automated harness, baseline performance of 60.0% correctness with a 23.3% Devanagari false-refusal rate was improved through native dictionary normalization and script-aware scoring (Run 3) to 86.7% correctness (English 85.0%, Marathi 85.0%, Hindi 90.0%), eliminating false refusals (0.0%) and closing the language gap ($p = 1.0$). Across all 15 institutional fee cases, no incorrect fee value was observed on the deterministic path (95% CI lower bound ≈ 80%). A controlled ablation confirms that plain generative RAG introduces 27.8% cross-attribute attribution errors and accepts 81.8% of corrupted tabular figures under token-overlap verification, validating the necessity of deterministic rendering for high-stakes institutional figures.</w:t>
      </w:r>
    </w:p>
    <w:p>
      <w:pPr>
        <w:spacing w:before="0" w:after="80" w:line="252" w:lineRule="auto"/>
        <w:jc w:val="both"/>
      </w:pPr>
      <w:r>
        <w:rPr>
          <w:rFonts w:ascii="Times New Roman" w:hAnsi="Times New Roman"/>
          <w:b w:val="0"/>
          <w:i w:val="0"/>
          <w:color w:val="000000"/>
          <w:sz w:val="19"/>
        </w:rPr>
        <w:t>Persistent limitations are acknowledged: English safe abstention on unanswerable queries remains 57.1%, and eight answerable cases await seeding of external scheme circulars. Next steps are: (i) continuous longitudinal evaluation on unconstrained prospective applicant traffic; (ii) expanding unanswerable query abstention guards; and (iii) deploying the audited assistant in a supervised institutional pilot.</w:t>
      </w:r>
    </w:p>
    <w:p>
      <w:pPr>
        <w:keepNext/>
        <w:spacing w:before="280" w:after="80"/>
      </w:pPr>
      <w:r>
        <w:rPr>
          <w:rFonts w:ascii="Times New Roman" w:hAnsi="Times New Roman"/>
          <w:b/>
          <w:i w:val="0"/>
          <w:color w:val="000000"/>
          <w:sz w:val="22"/>
        </w:rPr>
        <w:t>DATA AVAILABILITY</w:t>
      </w:r>
    </w:p>
    <w:p>
      <w:pPr>
        <w:spacing w:before="0" w:after="80" w:line="252" w:lineRule="auto"/>
        <w:jc w:val="both"/>
      </w:pPr>
      <w:r>
        <w:rPr>
          <w:rFonts w:ascii="Times New Roman" w:hAnsi="Times New Roman"/>
          <w:b w:val="0"/>
          <w:i w:val="0"/>
          <w:color w:val="000000"/>
          <w:sz w:val="19"/>
        </w:rPr>
        <w:t>Project source: https://github.com/shraddha-2332/MITRA-The-Virtual-Assistant. Source-bound development summaries, corpus identifiers and limitations are stored under docs/research-review and identify working-file hashes, so they may describe a snapshot ahead of the committed and deployed versions. Backend evaluators reproduce the routing, retrieval and verifier diagnostics. Figs. 3–6 are unedited captures of the implemented application.</w:t>
      </w:r>
    </w:p>
    <w:p>
      <w:pPr>
        <w:keepNext/>
        <w:spacing w:before="280" w:after="80"/>
      </w:pPr>
      <w:r>
        <w:rPr>
          <w:rFonts w:ascii="Times New Roman" w:hAnsi="Times New Roman"/>
          <w:b/>
          <w:i w:val="0"/>
          <w:color w:val="000000"/>
          <w:sz w:val="22"/>
        </w:rPr>
        <w:t>ACKNOWLEDGMENT</w:t>
      </w:r>
    </w:p>
    <w:p>
      <w:pPr>
        <w:keepNext/>
        <w:spacing w:before="280" w:after="80"/>
      </w:pPr>
      <w:r>
        <w:rPr>
          <w:rFonts w:ascii="Times New Roman" w:hAnsi="Times New Roman"/>
          <w:b/>
          <w:i w:val="0"/>
          <w:color w:val="000000"/>
          <w:sz w:val="22"/>
        </w:rPr>
        <w:t>REFERENCES</w:t>
      </w:r>
    </w:p>
    <w:p>
      <w:pPr>
        <w:spacing w:before="0" w:after="80" w:line="252" w:lineRule="auto"/>
        <w:jc w:val="both"/>
      </w:pPr>
      <w:r>
        <w:rPr>
          <w:rFonts w:ascii="Times New Roman" w:hAnsi="Times New Roman"/>
          <w:b w:val="0"/>
          <w:i w:val="0"/>
          <w:color w:val="000000"/>
          <w:sz w:val="19"/>
        </w:rPr>
        <w:t xml:space="preserve">1. P. Lewis et al., “Retrieval-Augmented Generation for Knowledge-Intensive NLP Tasks,” in </w:t>
      </w:r>
      <w:r>
        <w:rPr>
          <w:rFonts w:ascii="Times New Roman" w:hAnsi="Times New Roman"/>
          <w:b w:val="0"/>
          <w:i/>
          <w:color w:val="000000"/>
          <w:sz w:val="19"/>
        </w:rPr>
        <w:t>Advances in Neural Information Processing Systems (NeurIPS)</w:t>
      </w:r>
      <w:r>
        <w:rPr>
          <w:rFonts w:ascii="Times New Roman" w:hAnsi="Times New Roman"/>
          <w:b w:val="0"/>
          <w:i w:val="0"/>
          <w:color w:val="000000"/>
          <w:sz w:val="19"/>
        </w:rPr>
        <w:t>, vol. 33, 2020, pp. 9459–9474. [Online]. Available: https://arxiv.org/abs/2005.11401</w:t>
      </w:r>
    </w:p>
    <w:p>
      <w:pPr>
        <w:spacing w:before="0" w:after="80" w:line="252" w:lineRule="auto"/>
        <w:jc w:val="both"/>
      </w:pPr>
      <w:r>
        <w:rPr>
          <w:rFonts w:ascii="Times New Roman" w:hAnsi="Times New Roman"/>
          <w:b w:val="0"/>
          <w:i w:val="0"/>
          <w:color w:val="000000"/>
          <w:sz w:val="19"/>
        </w:rPr>
        <w:t xml:space="preserve">2. S. Robertson and H. Zaragoza, “The Probabilistic Relevance Framework: BM25 and Beyond,” </w:t>
      </w:r>
      <w:r>
        <w:rPr>
          <w:rFonts w:ascii="Times New Roman" w:hAnsi="Times New Roman"/>
          <w:b w:val="0"/>
          <w:i/>
          <w:color w:val="000000"/>
          <w:sz w:val="19"/>
        </w:rPr>
        <w:t>Foundations and Trends in Information Retrieval</w:t>
      </w:r>
      <w:r>
        <w:rPr>
          <w:rFonts w:ascii="Times New Roman" w:hAnsi="Times New Roman"/>
          <w:b w:val="0"/>
          <w:i w:val="0"/>
          <w:color w:val="000000"/>
          <w:sz w:val="19"/>
        </w:rPr>
        <w:t>, vol. 3, no. 4, pp. 333–389, 2009, doi: 10.1561/1500000019.</w:t>
      </w:r>
    </w:p>
    <w:p>
      <w:pPr>
        <w:spacing w:before="0" w:after="80" w:line="252" w:lineRule="auto"/>
        <w:jc w:val="both"/>
      </w:pPr>
      <w:r>
        <w:rPr>
          <w:rFonts w:ascii="Times New Roman" w:hAnsi="Times New Roman"/>
          <w:b w:val="0"/>
          <w:i w:val="0"/>
          <w:color w:val="000000"/>
          <w:sz w:val="19"/>
        </w:rPr>
        <w:t xml:space="preserve">3. L. Nguyen and T. Quan, “URAG: Implementing a Unified Hybrid RAG for Precise Answers in University Admission Chatbots—A Case Study at HCMUT,” </w:t>
      </w:r>
      <w:r>
        <w:rPr>
          <w:rFonts w:ascii="Times New Roman" w:hAnsi="Times New Roman"/>
          <w:b w:val="0"/>
          <w:i/>
          <w:color w:val="000000"/>
          <w:sz w:val="19"/>
        </w:rPr>
        <w:t>arXiv:2501.16276</w:t>
      </w:r>
      <w:r>
        <w:rPr>
          <w:rFonts w:ascii="Times New Roman" w:hAnsi="Times New Roman"/>
          <w:b w:val="0"/>
          <w:i w:val="0"/>
          <w:color w:val="000000"/>
          <w:sz w:val="19"/>
        </w:rPr>
        <w:t>, 2025. [Online]. Available: https://arxiv.org/abs/2501.16276</w:t>
      </w:r>
    </w:p>
    <w:p>
      <w:pPr>
        <w:spacing w:before="0" w:after="80" w:line="252" w:lineRule="auto"/>
        <w:jc w:val="both"/>
      </w:pPr>
      <w:r>
        <w:rPr>
          <w:rFonts w:ascii="Times New Roman" w:hAnsi="Times New Roman"/>
          <w:b w:val="0"/>
          <w:i w:val="0"/>
          <w:color w:val="000000"/>
          <w:sz w:val="19"/>
        </w:rPr>
        <w:t xml:space="preserve">4. H.-T. Nguyen, Q.-D. Ngo, and Q.-D. Dang, “An Intent-Filtered Retrieval-Augmented Generation Chatbot for University Admissions in Vietnam,” in </w:t>
      </w:r>
      <w:r>
        <w:rPr>
          <w:rFonts w:ascii="Times New Roman" w:hAnsi="Times New Roman"/>
          <w:b w:val="0"/>
          <w:i/>
          <w:color w:val="000000"/>
          <w:sz w:val="19"/>
        </w:rPr>
        <w:t>Proc. Int. Conf. Advanced Technologies for Communications (ATC)</w:t>
      </w:r>
      <w:r>
        <w:rPr>
          <w:rFonts w:ascii="Times New Roman" w:hAnsi="Times New Roman"/>
          <w:b w:val="0"/>
          <w:i w:val="0"/>
          <w:color w:val="000000"/>
          <w:sz w:val="19"/>
        </w:rPr>
        <w:t>, 2024, doi: 10.1109/ATC63255.2024.10908188.</w:t>
      </w:r>
    </w:p>
    <w:p>
      <w:pPr>
        <w:spacing w:before="0" w:after="80" w:line="252" w:lineRule="auto"/>
        <w:jc w:val="both"/>
      </w:pPr>
      <w:r>
        <w:rPr>
          <w:rFonts w:ascii="Times New Roman" w:hAnsi="Times New Roman"/>
          <w:b w:val="0"/>
          <w:i w:val="0"/>
          <w:color w:val="000000"/>
          <w:sz w:val="19"/>
        </w:rPr>
        <w:t xml:space="preserve">5. A. Nguyen-Duc et al., “An Empirical Study of Multi-Agent RAG for Real-World University Admissions Counseling,” </w:t>
      </w:r>
      <w:r>
        <w:rPr>
          <w:rFonts w:ascii="Times New Roman" w:hAnsi="Times New Roman"/>
          <w:b w:val="0"/>
          <w:i/>
          <w:color w:val="000000"/>
          <w:sz w:val="19"/>
        </w:rPr>
        <w:t>arXiv:2507.11272</w:t>
      </w:r>
      <w:r>
        <w:rPr>
          <w:rFonts w:ascii="Times New Roman" w:hAnsi="Times New Roman"/>
          <w:b w:val="0"/>
          <w:i w:val="0"/>
          <w:color w:val="000000"/>
          <w:sz w:val="19"/>
        </w:rPr>
        <w:t>, 2025. [Online]. Available: https://arxiv.org/abs/2507.11272</w:t>
      </w:r>
    </w:p>
    <w:p>
      <w:pPr>
        <w:spacing w:before="0" w:after="80" w:line="252" w:lineRule="auto"/>
        <w:jc w:val="both"/>
      </w:pPr>
      <w:r>
        <w:rPr>
          <w:rFonts w:ascii="Times New Roman" w:hAnsi="Times New Roman"/>
          <w:b w:val="0"/>
          <w:i w:val="0"/>
          <w:color w:val="000000"/>
          <w:sz w:val="19"/>
        </w:rPr>
        <w:t xml:space="preserve">6. M. Maryamah et al., “Chatbots in Academia: A Retrieval-Augmented Generation Approach for Improved Efficient Information Access,” in </w:t>
      </w:r>
      <w:r>
        <w:rPr>
          <w:rFonts w:ascii="Times New Roman" w:hAnsi="Times New Roman"/>
          <w:b w:val="0"/>
          <w:i/>
          <w:color w:val="000000"/>
          <w:sz w:val="19"/>
        </w:rPr>
        <w:t>Proc. 16th Int. Conf. Knowledge and Smart Technology (KST)</w:t>
      </w:r>
      <w:r>
        <w:rPr>
          <w:rFonts w:ascii="Times New Roman" w:hAnsi="Times New Roman"/>
          <w:b w:val="0"/>
          <w:i w:val="0"/>
          <w:color w:val="000000"/>
          <w:sz w:val="19"/>
        </w:rPr>
        <w:t>, 2024, pp. 259–264, doi: 10.1109/KST61284.2024.10499652.</w:t>
      </w:r>
    </w:p>
    <w:p>
      <w:pPr>
        <w:spacing w:before="0" w:after="80" w:line="252" w:lineRule="auto"/>
        <w:jc w:val="both"/>
      </w:pPr>
      <w:r>
        <w:rPr>
          <w:rFonts w:ascii="Times New Roman" w:hAnsi="Times New Roman"/>
          <w:b w:val="0"/>
          <w:i w:val="0"/>
          <w:color w:val="000000"/>
          <w:sz w:val="19"/>
        </w:rPr>
        <w:t xml:space="preserve">7. D. Kakwani et al., “IndicNLPSuite: Monolingual Corpora, Evaluation Benchmarks and Pre-trained Multilingual Language Models for Indian Languages,” in </w:t>
      </w:r>
      <w:r>
        <w:rPr>
          <w:rFonts w:ascii="Times New Roman" w:hAnsi="Times New Roman"/>
          <w:b w:val="0"/>
          <w:i/>
          <w:color w:val="000000"/>
          <w:sz w:val="19"/>
        </w:rPr>
        <w:t>Findings Assoc. Comput. Linguistics: EMNLP</w:t>
      </w:r>
      <w:r>
        <w:rPr>
          <w:rFonts w:ascii="Times New Roman" w:hAnsi="Times New Roman"/>
          <w:b w:val="0"/>
          <w:i w:val="0"/>
          <w:color w:val="000000"/>
          <w:sz w:val="19"/>
        </w:rPr>
        <w:t>, 2020, pp. 4948–4961, doi: 10.18653/v1/2020.findings-emnlp.445.</w:t>
      </w:r>
    </w:p>
    <w:p>
      <w:pPr>
        <w:spacing w:before="0" w:after="80" w:line="252" w:lineRule="auto"/>
        <w:jc w:val="both"/>
      </w:pPr>
      <w:r>
        <w:rPr>
          <w:rFonts w:ascii="Times New Roman" w:hAnsi="Times New Roman"/>
          <w:b w:val="0"/>
          <w:i w:val="0"/>
          <w:color w:val="000000"/>
          <w:sz w:val="19"/>
        </w:rPr>
        <w:t xml:space="preserve">8. S. Es, J. James, L. Espinosa Anke, and S. Schockaert, “RAGAs: Automated Evaluation of Retrieval Augmented Generation,” in </w:t>
      </w:r>
      <w:r>
        <w:rPr>
          <w:rFonts w:ascii="Times New Roman" w:hAnsi="Times New Roman"/>
          <w:b w:val="0"/>
          <w:i/>
          <w:color w:val="000000"/>
          <w:sz w:val="19"/>
        </w:rPr>
        <w:t>Proc. EACL System Demonstrations</w:t>
      </w:r>
      <w:r>
        <w:rPr>
          <w:rFonts w:ascii="Times New Roman" w:hAnsi="Times New Roman"/>
          <w:b w:val="0"/>
          <w:i w:val="0"/>
          <w:color w:val="000000"/>
          <w:sz w:val="19"/>
        </w:rPr>
        <w:t>, 2024, pp. 150–158, doi: 10.18653/v1/2024.eacl-demo.16.</w:t>
      </w:r>
    </w:p>
    <w:p>
      <w:pPr>
        <w:spacing w:before="0" w:after="80" w:line="252" w:lineRule="auto"/>
        <w:jc w:val="both"/>
      </w:pPr>
      <w:r>
        <w:rPr>
          <w:rFonts w:ascii="Times New Roman" w:hAnsi="Times New Roman"/>
          <w:b w:val="0"/>
          <w:i w:val="0"/>
          <w:color w:val="000000"/>
          <w:sz w:val="19"/>
        </w:rPr>
        <w:t xml:space="preserve">9. P. Mathur, A. Siu, N. Lipka, and T. Sun, “MATSA: Multi-Agent Table Structure Attribution,” in </w:t>
      </w:r>
      <w:r>
        <w:rPr>
          <w:rFonts w:ascii="Times New Roman" w:hAnsi="Times New Roman"/>
          <w:b w:val="0"/>
          <w:i/>
          <w:color w:val="000000"/>
          <w:sz w:val="19"/>
        </w:rPr>
        <w:t>Proc. EMNLP System Demonstrations</w:t>
      </w:r>
      <w:r>
        <w:rPr>
          <w:rFonts w:ascii="Times New Roman" w:hAnsi="Times New Roman"/>
          <w:b w:val="0"/>
          <w:i w:val="0"/>
          <w:color w:val="000000"/>
          <w:sz w:val="19"/>
        </w:rPr>
        <w:t>, 2024, pp. 250–258, doi: 10.18653/v1/2024.emnlp-demo.26.</w:t>
      </w:r>
    </w:p>
    <w:p>
      <w:pPr>
        <w:spacing w:before="0" w:after="80" w:line="252" w:lineRule="auto"/>
        <w:jc w:val="both"/>
      </w:pPr>
      <w:r>
        <w:rPr>
          <w:rFonts w:ascii="Times New Roman" w:hAnsi="Times New Roman"/>
          <w:b w:val="0"/>
          <w:i w:val="0"/>
          <w:color w:val="000000"/>
          <w:sz w:val="19"/>
        </w:rPr>
        <w:t xml:space="preserve">10. K. S. Bukkapatnam and S. Mehta, “TabFaith: Benchmarking and Improving Structural Faithfulness in LLM Table Summarization,” in </w:t>
      </w:r>
      <w:r>
        <w:rPr>
          <w:rFonts w:ascii="Times New Roman" w:hAnsi="Times New Roman"/>
          <w:b w:val="0"/>
          <w:i/>
          <w:color w:val="000000"/>
          <w:sz w:val="19"/>
        </w:rPr>
        <w:t>Proc. First Workshop on Structured Understanding, Retrieval, and Generation in the LLM Era (SURGeLLM)</w:t>
      </w:r>
      <w:r>
        <w:rPr>
          <w:rFonts w:ascii="Times New Roman" w:hAnsi="Times New Roman"/>
          <w:b w:val="0"/>
          <w:i w:val="0"/>
          <w:color w:val="000000"/>
          <w:sz w:val="19"/>
        </w:rPr>
        <w:t>, 2026, pp. 326–332, doi: 10.18653/v1/2026.surgellm-1.21.</w:t>
      </w:r>
    </w:p>
    <w:p>
      <w:pPr>
        <w:spacing w:before="0" w:after="80" w:line="252" w:lineRule="auto"/>
        <w:jc w:val="both"/>
      </w:pPr>
      <w:r>
        <w:rPr>
          <w:rFonts w:ascii="Times New Roman" w:hAnsi="Times New Roman"/>
          <w:b w:val="0"/>
          <w:i w:val="0"/>
          <w:color w:val="000000"/>
          <w:sz w:val="19"/>
        </w:rPr>
        <w:t xml:space="preserve">11. Z. Ji et al., “Survey of hallucination in natural language generation,” </w:t>
      </w:r>
      <w:r>
        <w:rPr>
          <w:rFonts w:ascii="Times New Roman" w:hAnsi="Times New Roman"/>
          <w:b w:val="0"/>
          <w:i/>
          <w:color w:val="000000"/>
          <w:sz w:val="19"/>
        </w:rPr>
        <w:t>ACM Comput. Surv.</w:t>
      </w:r>
      <w:r>
        <w:rPr>
          <w:rFonts w:ascii="Times New Roman" w:hAnsi="Times New Roman"/>
          <w:b w:val="0"/>
          <w:i w:val="0"/>
          <w:color w:val="000000"/>
          <w:sz w:val="19"/>
        </w:rPr>
        <w:t>, vol. 55, no. 12, Art. no. 248, 2023.</w:t>
      </w:r>
    </w:p>
    <w:p>
      <w:pPr>
        <w:spacing w:before="0" w:after="80" w:line="252" w:lineRule="auto"/>
        <w:jc w:val="both"/>
      </w:pPr>
      <w:r>
        <w:rPr>
          <w:rFonts w:ascii="Times New Roman" w:hAnsi="Times New Roman"/>
          <w:b w:val="0"/>
          <w:i w:val="0"/>
          <w:color w:val="000000"/>
          <w:sz w:val="19"/>
        </w:rPr>
        <w:t xml:space="preserve">12. N. Thakur et al., “BEIR: A heterogeneous benchmark for zero-shot evaluation of information retrieval models,” in </w:t>
      </w:r>
      <w:r>
        <w:rPr>
          <w:rFonts w:ascii="Times New Roman" w:hAnsi="Times New Roman"/>
          <w:b w:val="0"/>
          <w:i/>
          <w:color w:val="000000"/>
          <w:sz w:val="19"/>
        </w:rPr>
        <w:t>Proc. NeurIPS Datasets and Benchmarks Track</w:t>
      </w:r>
      <w:r>
        <w:rPr>
          <w:rFonts w:ascii="Times New Roman" w:hAnsi="Times New Roman"/>
          <w:b w:val="0"/>
          <w:i w:val="0"/>
          <w:color w:val="000000"/>
          <w:sz w:val="19"/>
        </w:rPr>
        <w:t>, 2021.</w:t>
      </w:r>
    </w:p>
    <w:p>
      <w:pPr>
        <w:spacing w:before="0" w:after="80" w:line="252" w:lineRule="auto"/>
        <w:jc w:val="both"/>
      </w:pPr>
      <w:r>
        <w:rPr>
          <w:rFonts w:ascii="Times New Roman" w:hAnsi="Times New Roman"/>
          <w:b w:val="0"/>
          <w:i w:val="0"/>
          <w:color w:val="000000"/>
          <w:sz w:val="19"/>
        </w:rPr>
        <w:t xml:space="preserve">13. J. H. Clark et al., “TyDi QA: A benchmark for information-seeking question answering in typologically diverse languages,” </w:t>
      </w:r>
      <w:r>
        <w:rPr>
          <w:rFonts w:ascii="Times New Roman" w:hAnsi="Times New Roman"/>
          <w:b w:val="0"/>
          <w:i/>
          <w:color w:val="000000"/>
          <w:sz w:val="19"/>
        </w:rPr>
        <w:t>Trans. Assoc. Comput. Linguistics</w:t>
      </w:r>
      <w:r>
        <w:rPr>
          <w:rFonts w:ascii="Times New Roman" w:hAnsi="Times New Roman"/>
          <w:b w:val="0"/>
          <w:i w:val="0"/>
          <w:color w:val="000000"/>
          <w:sz w:val="19"/>
        </w:rPr>
        <w:t>, vol. 8, pp. 454–470, 2020.</w:t>
      </w:r>
    </w:p>
    <w:p>
      <w:pPr>
        <w:spacing w:before="0" w:after="80" w:line="252" w:lineRule="auto"/>
        <w:jc w:val="both"/>
      </w:pPr>
      <w:r>
        <w:rPr>
          <w:rFonts w:ascii="Times New Roman" w:hAnsi="Times New Roman"/>
          <w:b w:val="0"/>
          <w:i w:val="0"/>
          <w:color w:val="000000"/>
          <w:sz w:val="19"/>
        </w:rPr>
        <w:t xml:space="preserve">14. A. Asai et al., “XOR QA: Cross-lingual open-retrieval question answering,” in </w:t>
      </w:r>
      <w:r>
        <w:rPr>
          <w:rFonts w:ascii="Times New Roman" w:hAnsi="Times New Roman"/>
          <w:b w:val="0"/>
          <w:i/>
          <w:color w:val="000000"/>
          <w:sz w:val="19"/>
        </w:rPr>
        <w:t>Proc. NAACL-HLT</w:t>
      </w:r>
      <w:r>
        <w:rPr>
          <w:rFonts w:ascii="Times New Roman" w:hAnsi="Times New Roman"/>
          <w:b w:val="0"/>
          <w:i w:val="0"/>
          <w:color w:val="000000"/>
          <w:sz w:val="19"/>
        </w:rPr>
        <w:t>, 2021, pp. 547–564.</w:t>
      </w:r>
    </w:p>
    <w:p>
      <w:pPr>
        <w:spacing w:before="0" w:after="80" w:line="252" w:lineRule="auto"/>
        <w:jc w:val="both"/>
      </w:pPr>
      <w:r>
        <w:rPr>
          <w:rFonts w:ascii="Times New Roman" w:hAnsi="Times New Roman"/>
          <w:b w:val="0"/>
          <w:i w:val="0"/>
          <w:color w:val="000000"/>
          <w:sz w:val="19"/>
        </w:rPr>
        <w:t xml:space="preserve">15. P. Buneman, S. Khanna, and W.-C. Tan, “Why and where: A characterization of data provenance,” in </w:t>
      </w:r>
      <w:r>
        <w:rPr>
          <w:rFonts w:ascii="Times New Roman" w:hAnsi="Times New Roman"/>
          <w:b w:val="0"/>
          <w:i/>
          <w:color w:val="000000"/>
          <w:sz w:val="19"/>
        </w:rPr>
        <w:t>Proc. Int. Conf. Database Theory (ICDT)</w:t>
      </w:r>
      <w:r>
        <w:rPr>
          <w:rFonts w:ascii="Times New Roman" w:hAnsi="Times New Roman"/>
          <w:b w:val="0"/>
          <w:i w:val="0"/>
          <w:color w:val="000000"/>
          <w:sz w:val="19"/>
        </w:rPr>
        <w:t>, LNCS vol. 1973, 2001, pp. 316–330.</w:t>
      </w:r>
    </w:p>
    <w:p>
      <w:pPr>
        <w:spacing w:before="0" w:after="80" w:line="252" w:lineRule="auto"/>
        <w:jc w:val="both"/>
      </w:pPr>
      <w:r>
        <w:rPr>
          <w:rFonts w:ascii="Times New Roman" w:hAnsi="Times New Roman"/>
          <w:b w:val="0"/>
          <w:i w:val="0"/>
          <w:color w:val="000000"/>
          <w:sz w:val="19"/>
        </w:rPr>
        <w:t xml:space="preserve">16. Z. Chen, D. Zou, H. Xie, H. Lou, and Z. Pang, “Facilitating university admission using a chatbot based on large language models with retrieval-augmented generation,” </w:t>
      </w:r>
      <w:r>
        <w:rPr>
          <w:rFonts w:ascii="Times New Roman" w:hAnsi="Times New Roman"/>
          <w:b w:val="0"/>
          <w:i/>
          <w:color w:val="000000"/>
          <w:sz w:val="19"/>
        </w:rPr>
        <w:t>Educ. Technol. Soc.</w:t>
      </w:r>
      <w:r>
        <w:rPr>
          <w:rFonts w:ascii="Times New Roman" w:hAnsi="Times New Roman"/>
          <w:b w:val="0"/>
          <w:i w:val="0"/>
          <w:color w:val="000000"/>
          <w:sz w:val="19"/>
        </w:rPr>
        <w:t>, vol. 27, no. 4, pp. 454–470, 2024, doi: 10.30191/ETS.202410_27(4).TP02.</w:t>
      </w:r>
    </w:p>
    <w:p>
      <w:pPr>
        <w:spacing w:before="0" w:after="80" w:line="252" w:lineRule="auto"/>
        <w:jc w:val="both"/>
      </w:pPr>
      <w:r>
        <w:rPr>
          <w:rFonts w:ascii="Times New Roman" w:hAnsi="Times New Roman"/>
          <w:b w:val="0"/>
          <w:i w:val="0"/>
          <w:color w:val="000000"/>
          <w:sz w:val="19"/>
        </w:rPr>
        <w:t xml:space="preserve">17. Gemini Team, Google, “Gemini: A family of highly capable multimodal models,” </w:t>
      </w:r>
      <w:r>
        <w:rPr>
          <w:rFonts w:ascii="Times New Roman" w:hAnsi="Times New Roman"/>
          <w:b w:val="0"/>
          <w:i/>
          <w:color w:val="000000"/>
          <w:sz w:val="19"/>
        </w:rPr>
        <w:t>arXiv:2312.11805</w:t>
      </w:r>
      <w:r>
        <w:rPr>
          <w:rFonts w:ascii="Times New Roman" w:hAnsi="Times New Roman"/>
          <w:b w:val="0"/>
          <w:i w:val="0"/>
          <w:color w:val="000000"/>
          <w:sz w:val="19"/>
        </w:rPr>
        <w:t>, 2023.</w:t>
      </w:r>
    </w:p>
    <w:p>
      <w:pPr>
        <w:spacing w:before="0" w:after="80" w:line="252" w:lineRule="auto"/>
        <w:jc w:val="both"/>
      </w:pPr>
      <w:r>
        <w:rPr>
          <w:rFonts w:ascii="Times New Roman" w:hAnsi="Times New Roman"/>
          <w:b w:val="0"/>
          <w:i w:val="0"/>
          <w:color w:val="000000"/>
          <w:sz w:val="19"/>
        </w:rPr>
        <w:t xml:space="preserve">18. C. D. Manning, P. Raghavan, and H. Schütze, </w:t>
      </w:r>
      <w:r>
        <w:rPr>
          <w:rFonts w:ascii="Times New Roman" w:hAnsi="Times New Roman"/>
          <w:b w:val="0"/>
          <w:i/>
          <w:color w:val="000000"/>
          <w:sz w:val="19"/>
        </w:rPr>
        <w:t>Introduction to Information Retrieval</w:t>
      </w:r>
      <w:r>
        <w:rPr>
          <w:rFonts w:ascii="Times New Roman" w:hAnsi="Times New Roman"/>
          <w:b w:val="0"/>
          <w:i w:val="0"/>
          <w:color w:val="000000"/>
          <w:sz w:val="19"/>
        </w:rPr>
        <w:t>. Cambridge, U.K.: Cambridge Univ. Press, 2008.</w:t>
      </w:r>
    </w:p>
    <w:p>
      <w:pPr>
        <w:spacing w:before="0" w:after="80" w:line="252" w:lineRule="auto"/>
        <w:jc w:val="both"/>
      </w:pPr>
      <w:r>
        <w:rPr>
          <w:rFonts w:ascii="Times New Roman" w:hAnsi="Times New Roman"/>
          <w:b w:val="0"/>
          <w:i w:val="0"/>
          <w:color w:val="000000"/>
          <w:sz w:val="19"/>
        </w:rPr>
        <w:t xml:space="preserve">19. G. V. Cormack, C. L. A. Clarke, and S. Büttcher, “Reciprocal rank fusion outperforms Condorcet and individual rank learning methods,” in </w:t>
      </w:r>
      <w:r>
        <w:rPr>
          <w:rFonts w:ascii="Times New Roman" w:hAnsi="Times New Roman"/>
          <w:b w:val="0"/>
          <w:i/>
          <w:color w:val="000000"/>
          <w:sz w:val="19"/>
        </w:rPr>
        <w:t>Proc. 32nd Int. ACM SIGIR Conf. Research and Development in Information Retrieval</w:t>
      </w:r>
      <w:r>
        <w:rPr>
          <w:rFonts w:ascii="Times New Roman" w:hAnsi="Times New Roman"/>
          <w:b w:val="0"/>
          <w:i w:val="0"/>
          <w:color w:val="000000"/>
          <w:sz w:val="19"/>
        </w:rPr>
        <w:t>, 2009, pp. 758–759, doi: 10.1145/1571941.1572114.</w:t>
      </w:r>
    </w:p>
    <w:p>
      <w:pPr>
        <w:spacing w:before="0" w:after="80" w:line="252" w:lineRule="auto"/>
        <w:jc w:val="both"/>
      </w:pPr>
      <w:r>
        <w:rPr>
          <w:rFonts w:ascii="Times New Roman" w:hAnsi="Times New Roman"/>
          <w:b w:val="0"/>
          <w:i w:val="0"/>
          <w:color w:val="000000"/>
          <w:sz w:val="19"/>
        </w:rPr>
        <w:t xml:space="preserve">20. E. B. Wilson, “Probable inference, the law of succession, and statistical inference,” </w:t>
      </w:r>
      <w:r>
        <w:rPr>
          <w:rFonts w:ascii="Times New Roman" w:hAnsi="Times New Roman"/>
          <w:b w:val="0"/>
          <w:i/>
          <w:color w:val="000000"/>
          <w:sz w:val="19"/>
        </w:rPr>
        <w:t>J. Amer. Statist. Assoc.</w:t>
      </w:r>
      <w:r>
        <w:rPr>
          <w:rFonts w:ascii="Times New Roman" w:hAnsi="Times New Roman"/>
          <w:b w:val="0"/>
          <w:i w:val="0"/>
          <w:color w:val="000000"/>
          <w:sz w:val="19"/>
        </w:rPr>
        <w:t>, vol. 22, no. 158, pp. 209–212, 1927.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