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2CCF" w14:textId="77777777" w:rsidR="001E4AF0" w:rsidRDefault="00000000" w:rsidP="00253234">
      <w:pPr>
        <w:pStyle w:val="Heading1"/>
        <w:jc w:val="both"/>
      </w:pPr>
      <w:r>
        <w:t>Agents, MCP, and What My FL-04 Pipeline Would Need to Become One</w:t>
      </w:r>
    </w:p>
    <w:p w14:paraId="2022F8C9" w14:textId="77777777" w:rsidR="001E4AF0" w:rsidRDefault="00000000" w:rsidP="00253234">
      <w:pPr>
        <w:spacing w:after="300"/>
        <w:jc w:val="both"/>
      </w:pPr>
      <w:r>
        <w:rPr>
          <w:i/>
          <w:iCs/>
        </w:rPr>
        <w:t>FL-05: Agent Concepts and MCP Basics  |  Shraddha Chavan</w:t>
      </w:r>
    </w:p>
    <w:p w14:paraId="78AF0CF6" w14:textId="77777777" w:rsidR="001E4AF0" w:rsidRDefault="00000000" w:rsidP="00253234">
      <w:pPr>
        <w:spacing w:after="200"/>
        <w:jc w:val="both"/>
      </w:pPr>
      <w:r>
        <w:t xml:space="preserve">The word “agent” gets used loosely in AI marketing, but there's a precise, useful distinction underneath it: </w:t>
      </w:r>
      <w:r>
        <w:rPr>
          <w:b/>
          <w:bCs/>
        </w:rPr>
        <w:t>who controls the sequence of steps.</w:t>
      </w:r>
      <w:r>
        <w:t xml:space="preserve"> In a </w:t>
      </w:r>
      <w:r>
        <w:rPr>
          <w:i/>
          <w:iCs/>
        </w:rPr>
        <w:t>workflow</w:t>
      </w:r>
      <w:r>
        <w:t xml:space="preserve">, a developer predefines the path — fixed steps, fixed order, sometimes fixed branches — and the LLM is called inside that path to do reasoning, but never to decide what happens next. In an </w:t>
      </w:r>
      <w:r>
        <w:rPr>
          <w:i/>
          <w:iCs/>
        </w:rPr>
        <w:t>agent</w:t>
      </w:r>
      <w:r>
        <w:t>, the LLM itself decides what step to take next, based on what it observes, and keeps deciding dynamically until it judges the task complete. The test isn't whether an LLM is involved — it's whether the LLM or the code is holding the steering wheel.</w:t>
      </w:r>
    </w:p>
    <w:p w14:paraId="6E912051" w14:textId="77777777" w:rsidR="001E4AF0" w:rsidRDefault="00000000" w:rsidP="00253234">
      <w:pPr>
        <w:spacing w:after="200"/>
        <w:jc w:val="both"/>
      </w:pPr>
      <w:r>
        <w:t>This matters practically because “agent” implies something specific: less predictability, but more flexibility to handle situations the developer didn't fully anticipate. A workflow is reliable and cheap to reason about because you know the path in advance. An agent can adapt, but you give up some of that predictability. Knowing which one you're building — or which one a product you're evaluating actually is — is the difference between having a real opinion and repeating a vendor's pitch.</w:t>
      </w:r>
    </w:p>
    <w:p w14:paraId="5091B371" w14:textId="77777777" w:rsidR="001E4AF0" w:rsidRDefault="00000000" w:rsidP="00253234">
      <w:pPr>
        <w:spacing w:after="200"/>
        <w:jc w:val="both"/>
      </w:pPr>
      <w:r>
        <w:rPr>
          <w:b/>
          <w:bCs/>
        </w:rPr>
        <w:t>My FL-04 pipeline is a workflow — specifically, prompt chaining.</w:t>
      </w:r>
      <w:r>
        <w:t xml:space="preserve"> FL-04 automates a weekly tech-internship industry brief through four fixed stages: Gather, Synthesize, Draft, and Review. Each stage runs inside a single Claude Project with custom instructions that explicitly forbid the model from skipping ahead or combining stages. Between stages, I manually copy the output of one stage and paste it as the input to the next. Every run — I've tested it across five cycles, covering different internship focus areas like Data Analyst and Power BI/BA roles — follows the identical four-step order.</w:t>
      </w:r>
    </w:p>
    <w:p w14:paraId="009DE52C" w14:textId="77777777" w:rsidR="001E4AF0" w:rsidRDefault="00000000" w:rsidP="00253234">
      <w:pPr>
        <w:spacing w:after="200"/>
        <w:jc w:val="both"/>
      </w:pPr>
      <w:r>
        <w:t xml:space="preserve">This is a textbook workflow, not an agent, for one clear reason: the model never decides the </w:t>
      </w:r>
      <w:r>
        <w:rPr>
          <w:i/>
          <w:iCs/>
        </w:rPr>
        <w:t>sequence</w:t>
      </w:r>
      <w:r>
        <w:t xml:space="preserve">. I decide it, in advance, through my project instructions, and I trigger each transition myself by pasting. Inside each individual stage, the model absolutely reasons — it decides which findings are duplicates, whether a claim needs a caveat, how to phrase a synthesis. But reasoning </w:t>
      </w:r>
      <w:r>
        <w:rPr>
          <w:i/>
          <w:iCs/>
        </w:rPr>
        <w:t>within</w:t>
      </w:r>
      <w:r>
        <w:t xml:space="preserve"> a step is not the same as controlling the </w:t>
      </w:r>
      <w:r>
        <w:rPr>
          <w:i/>
          <w:iCs/>
        </w:rPr>
        <w:t>order</w:t>
      </w:r>
      <w:r>
        <w:t xml:space="preserve"> of steps. That's the exact distinction beginners often blur: seeing a model “think” and assuming that means it's acting autonomously.</w:t>
      </w:r>
    </w:p>
    <w:p w14:paraId="446D8AC5" w14:textId="77777777" w:rsidR="001E4AF0" w:rsidRDefault="00000000" w:rsidP="00253234">
      <w:pPr>
        <w:spacing w:after="200"/>
        <w:jc w:val="both"/>
      </w:pPr>
      <w:r>
        <w:rPr>
          <w:b/>
          <w:bCs/>
        </w:rPr>
        <w:t>MCP — the Model Context Protocol — solves a different problem: how an AI reaches outside the chat window.</w:t>
      </w:r>
      <w:r>
        <w:t xml:space="preserve"> By default, a language model only knows what's in its training data plus whatever you type into the conversation. MCP standardizes how a model can connect to external tools and data instead. It exposes three kinds of things: </w:t>
      </w:r>
      <w:r>
        <w:rPr>
          <w:b/>
          <w:bCs/>
        </w:rPr>
        <w:t>tools</w:t>
      </w:r>
      <w:r>
        <w:t xml:space="preserve">, functions the model can call to take an action (read a file, query an API, list a repo's contents); </w:t>
      </w:r>
      <w:r>
        <w:rPr>
          <w:b/>
          <w:bCs/>
        </w:rPr>
        <w:t>resources</w:t>
      </w:r>
      <w:r>
        <w:t xml:space="preserve">, data the model can read for context without necessarily acting on it; and </w:t>
      </w:r>
      <w:r>
        <w:rPr>
          <w:b/>
          <w:bCs/>
        </w:rPr>
        <w:t>prompts</w:t>
      </w:r>
      <w:r>
        <w:t>, reusable instruction templates a server can expose. The useful analogy is a USB-C port: before MCP, every AI-to-tool connection was a custom, one-off integration; MCP standardizes the port so any compatible client can plug into any compatible server without bespoke wiring.</w:t>
      </w:r>
    </w:p>
    <w:p w14:paraId="397193D7" w14:textId="77777777" w:rsidR="001E4AF0" w:rsidRDefault="00000000" w:rsidP="00253234">
      <w:pPr>
        <w:spacing w:after="200"/>
        <w:jc w:val="both"/>
      </w:pPr>
      <w:r>
        <w:t>I tested this directly by connecting a GitHub integration to Claude and running three tasks that plain chat genuinely could not answer: listing the open issues on my expense-tracker-app repo (zero, it turns out), reading the actual README content from that repo, and listing the real files in the root of my GitHub Pages repo, down to exact file sizes. Each response showed a visible tool-call, not a guessed answer — proof the model reached out and pulled live data rather than pattern-matching from memory.</w:t>
      </w:r>
    </w:p>
    <w:p w14:paraId="5541701A" w14:textId="77777777" w:rsidR="001E4AF0" w:rsidRDefault="00000000" w:rsidP="00253234">
      <w:pPr>
        <w:spacing w:after="200"/>
        <w:jc w:val="both"/>
      </w:pPr>
      <w:r>
        <w:rPr>
          <w:b/>
          <w:bCs/>
        </w:rPr>
        <w:t xml:space="preserve">What would FL-04 need to become an agent? </w:t>
      </w:r>
      <w:r>
        <w:t xml:space="preserve">The clearest opportunity is at the Draft-to-Review boundary. Right now, Review runs once, unconditionally, at a fixed point in the sequence — even when the Draft stage produced clean output. But I've already observed specific failure modes: the Draft stage sometimes silently drops source links, makes overconfident trend claims from small samples, or lets a global signal slip in without a locale caveat. Instead of running Review as a fixed, separate stage, I could give the model a standing instruction to evaluate its own Draft output against Stage 1's sources immediately, and </w:t>
      </w:r>
      <w:r>
        <w:rPr>
          <w:i/>
          <w:iCs/>
        </w:rPr>
        <w:t>decide</w:t>
      </w:r>
      <w:r>
        <w:t xml:space="preserve"> — at runtime — whether to loop back and regenerate the Draft before proceeding, repeating up to a capped number of retries. That's a genuine agent upgrade: a decision about what happens next, made by the model based on what it observes, rather than by me in advance. It's a small, contained change — not a full rewrite into an autonomous agent — but it's exactly the kind of single decision point where handing control to the model would make the pipeline more reliable without sacrificing the predictability of the rest of the chain.</w:t>
      </w:r>
    </w:p>
    <w:p w14:paraId="3AE3EFC1" w14:textId="6BE749D8" w:rsidR="0015247E" w:rsidRDefault="0015247E" w:rsidP="00253234">
      <w:pPr>
        <w:jc w:val="both"/>
        <w:rPr>
          <w:i/>
          <w:iCs/>
          <w:sz w:val="18"/>
          <w:szCs w:val="18"/>
        </w:rPr>
      </w:pPr>
    </w:p>
    <w:p w14:paraId="248C4C68" w14:textId="7816FBBE" w:rsidR="0015247E" w:rsidRDefault="0015247E" w:rsidP="00253234">
      <w:pPr>
        <w:jc w:val="both"/>
        <w:rPr>
          <w:i/>
          <w:iCs/>
          <w:sz w:val="18"/>
          <w:szCs w:val="18"/>
        </w:rPr>
      </w:pPr>
      <w:r w:rsidRPr="0015247E">
        <w:rPr>
          <w:i/>
          <w:iCs/>
          <w:sz w:val="18"/>
          <w:szCs w:val="18"/>
        </w:rPr>
        <w:lastRenderedPageBreak/>
        <w:drawing>
          <wp:inline distT="0" distB="0" distL="0" distR="0" wp14:anchorId="24C48DB4" wp14:editId="4294B8F8">
            <wp:extent cx="5943600" cy="2669202"/>
            <wp:effectExtent l="0" t="0" r="0" b="0"/>
            <wp:docPr id="106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492" name=""/>
                    <pic:cNvPicPr/>
                  </pic:nvPicPr>
                  <pic:blipFill>
                    <a:blip r:embed="rId5"/>
                    <a:stretch>
                      <a:fillRect/>
                    </a:stretch>
                  </pic:blipFill>
                  <pic:spPr>
                    <a:xfrm>
                      <a:off x="0" y="0"/>
                      <a:ext cx="5958988" cy="2676113"/>
                    </a:xfrm>
                    <a:prstGeom prst="rect">
                      <a:avLst/>
                    </a:prstGeom>
                  </pic:spPr>
                </pic:pic>
              </a:graphicData>
            </a:graphic>
          </wp:inline>
        </w:drawing>
      </w:r>
    </w:p>
    <w:p w14:paraId="00F05553" w14:textId="597C8BFC" w:rsidR="0015247E" w:rsidRDefault="0015247E" w:rsidP="00253234">
      <w:pPr>
        <w:jc w:val="both"/>
        <w:rPr>
          <w:i/>
          <w:iCs/>
          <w:sz w:val="18"/>
          <w:szCs w:val="18"/>
        </w:rPr>
      </w:pPr>
      <w:r w:rsidRPr="0015247E">
        <w:rPr>
          <w:i/>
          <w:iCs/>
          <w:sz w:val="18"/>
          <w:szCs w:val="18"/>
        </w:rPr>
        <w:drawing>
          <wp:inline distT="0" distB="0" distL="0" distR="0" wp14:anchorId="1A131BCA" wp14:editId="43A9783A">
            <wp:extent cx="5943600" cy="3271755"/>
            <wp:effectExtent l="0" t="0" r="0" b="5080"/>
            <wp:docPr id="180318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4734" name=""/>
                    <pic:cNvPicPr/>
                  </pic:nvPicPr>
                  <pic:blipFill>
                    <a:blip r:embed="rId6"/>
                    <a:stretch>
                      <a:fillRect/>
                    </a:stretch>
                  </pic:blipFill>
                  <pic:spPr>
                    <a:xfrm>
                      <a:off x="0" y="0"/>
                      <a:ext cx="5949623" cy="3275070"/>
                    </a:xfrm>
                    <a:prstGeom prst="rect">
                      <a:avLst/>
                    </a:prstGeom>
                  </pic:spPr>
                </pic:pic>
              </a:graphicData>
            </a:graphic>
          </wp:inline>
        </w:drawing>
      </w:r>
    </w:p>
    <w:p w14:paraId="2704ED00" w14:textId="0266098D" w:rsidR="0015247E" w:rsidRPr="0015247E" w:rsidRDefault="0015247E" w:rsidP="00253234">
      <w:pPr>
        <w:jc w:val="both"/>
        <w:rPr>
          <w:i/>
          <w:iCs/>
          <w:sz w:val="18"/>
          <w:szCs w:val="18"/>
        </w:rPr>
      </w:pPr>
      <w:r w:rsidRPr="0015247E">
        <w:rPr>
          <w:i/>
          <w:iCs/>
          <w:sz w:val="18"/>
          <w:szCs w:val="18"/>
        </w:rPr>
        <w:drawing>
          <wp:inline distT="0" distB="0" distL="0" distR="0" wp14:anchorId="1F8906BE" wp14:editId="144F0A6A">
            <wp:extent cx="3192472" cy="2225040"/>
            <wp:effectExtent l="0" t="0" r="8255" b="3810"/>
            <wp:docPr id="14461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4605" name=""/>
                    <pic:cNvPicPr/>
                  </pic:nvPicPr>
                  <pic:blipFill>
                    <a:blip r:embed="rId7"/>
                    <a:stretch>
                      <a:fillRect/>
                    </a:stretch>
                  </pic:blipFill>
                  <pic:spPr>
                    <a:xfrm>
                      <a:off x="0" y="0"/>
                      <a:ext cx="3220347" cy="2244468"/>
                    </a:xfrm>
                    <a:prstGeom prst="rect">
                      <a:avLst/>
                    </a:prstGeom>
                  </pic:spPr>
                </pic:pic>
              </a:graphicData>
            </a:graphic>
          </wp:inline>
        </w:drawing>
      </w:r>
    </w:p>
    <w:sectPr w:rsidR="0015247E" w:rsidRPr="001524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221B7"/>
    <w:multiLevelType w:val="hybridMultilevel"/>
    <w:tmpl w:val="770A39CC"/>
    <w:lvl w:ilvl="0" w:tplc="9206870C">
      <w:start w:val="1"/>
      <w:numFmt w:val="bullet"/>
      <w:lvlText w:val="●"/>
      <w:lvlJc w:val="left"/>
      <w:pPr>
        <w:ind w:left="720" w:hanging="360"/>
      </w:pPr>
    </w:lvl>
    <w:lvl w:ilvl="1" w:tplc="647EAD3C">
      <w:start w:val="1"/>
      <w:numFmt w:val="bullet"/>
      <w:lvlText w:val="○"/>
      <w:lvlJc w:val="left"/>
      <w:pPr>
        <w:ind w:left="1440" w:hanging="360"/>
      </w:pPr>
    </w:lvl>
    <w:lvl w:ilvl="2" w:tplc="5DCE3D24">
      <w:start w:val="1"/>
      <w:numFmt w:val="bullet"/>
      <w:lvlText w:val="■"/>
      <w:lvlJc w:val="left"/>
      <w:pPr>
        <w:ind w:left="2160" w:hanging="360"/>
      </w:pPr>
    </w:lvl>
    <w:lvl w:ilvl="3" w:tplc="DC3EB6DA">
      <w:start w:val="1"/>
      <w:numFmt w:val="bullet"/>
      <w:lvlText w:val="●"/>
      <w:lvlJc w:val="left"/>
      <w:pPr>
        <w:ind w:left="2880" w:hanging="360"/>
      </w:pPr>
    </w:lvl>
    <w:lvl w:ilvl="4" w:tplc="429CE0C2">
      <w:start w:val="1"/>
      <w:numFmt w:val="bullet"/>
      <w:lvlText w:val="○"/>
      <w:lvlJc w:val="left"/>
      <w:pPr>
        <w:ind w:left="3600" w:hanging="360"/>
      </w:pPr>
    </w:lvl>
    <w:lvl w:ilvl="5" w:tplc="FFDE6D16">
      <w:start w:val="1"/>
      <w:numFmt w:val="bullet"/>
      <w:lvlText w:val="■"/>
      <w:lvlJc w:val="left"/>
      <w:pPr>
        <w:ind w:left="4320" w:hanging="360"/>
      </w:pPr>
    </w:lvl>
    <w:lvl w:ilvl="6" w:tplc="43F6B436">
      <w:start w:val="1"/>
      <w:numFmt w:val="bullet"/>
      <w:lvlText w:val="●"/>
      <w:lvlJc w:val="left"/>
      <w:pPr>
        <w:ind w:left="5040" w:hanging="360"/>
      </w:pPr>
    </w:lvl>
    <w:lvl w:ilvl="7" w:tplc="2684DAAC">
      <w:start w:val="1"/>
      <w:numFmt w:val="bullet"/>
      <w:lvlText w:val="●"/>
      <w:lvlJc w:val="left"/>
      <w:pPr>
        <w:ind w:left="5760" w:hanging="360"/>
      </w:pPr>
    </w:lvl>
    <w:lvl w:ilvl="8" w:tplc="AD785AF6">
      <w:start w:val="1"/>
      <w:numFmt w:val="bullet"/>
      <w:lvlText w:val="●"/>
      <w:lvlJc w:val="left"/>
      <w:pPr>
        <w:ind w:left="6480" w:hanging="360"/>
      </w:pPr>
    </w:lvl>
  </w:abstractNum>
  <w:num w:numId="1" w16cid:durableId="1783181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AF0"/>
    <w:rsid w:val="0015247E"/>
    <w:rsid w:val="001E4AF0"/>
    <w:rsid w:val="00253234"/>
    <w:rsid w:val="002F6D9C"/>
    <w:rsid w:val="00DF4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CE16"/>
  <w15:docId w15:val="{7F752329-863E-4919-A5DC-08C0611E6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Paltavath</cp:lastModifiedBy>
  <cp:revision>3</cp:revision>
  <dcterms:created xsi:type="dcterms:W3CDTF">2026-08-06T14:43:00Z</dcterms:created>
  <dcterms:modified xsi:type="dcterms:W3CDTF">2026-08-06T14:54:00Z</dcterms:modified>
</cp:coreProperties>
</file>