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2E40"/>
          <w:sz w:val="34"/>
          <w:szCs w:val="34"/>
        </w:rPr>
        <w:t xml:space="preserve">Week 4: Comprehensive Data Science Report and Insights Presentation Plan</w:t>
      </w:r>
    </w:p>
    <w:p>
      <w:pPr>
        <w:spacing w:after="60"/>
        <w:jc w:val="center"/>
      </w:pPr>
      <w:r>
        <w:rPr>
          <w:i/>
          <w:iCs/>
          <w:color w:val="3B6E8F"/>
          <w:sz w:val="24"/>
          <w:szCs w:val="24"/>
        </w:rPr>
        <w:t xml:space="preserve">Hypothetical Project: Customer Churn Insights for a Subscription-Based Digital Service</w:t>
      </w:r>
    </w:p>
    <w:p>
      <w:pPr>
        <w:spacing w:after="320"/>
        <w:jc w:val="center"/>
      </w:pPr>
      <w:r>
        <w:rPr>
          <w:color w:val="666666"/>
          <w:sz w:val="20"/>
          <w:szCs w:val="20"/>
        </w:rPr>
        <w:t xml:space="preserve">Final Report and Executive Presentation Plan  |  Revised Edition</w:t>
      </w:r>
    </w:p>
    <w:p>
      <w:pPr>
        <w:pStyle w:val="Heading1"/>
        <w:spacing w:after="160" w:before="320"/>
      </w:pPr>
      <w:r>
        <w:t xml:space="preserve">Executive Summary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A subscription-based digital service with 20,000 active customers undertook an analytical project to understand why customers cancel and to build a model capable of identifying at-risk customers before they leave. Roughly 1,240 customers churn in a typical month (6.2%), concentrated disproportionately among new customers (11.4%), customers with repeated support contact (14.2%), and customers with declining product engagement (12.7%). A predictive model built on 8 selected features (from 34 raw candidate fields) correctly distinguishes churners from retained customers on a 3,000-customer held-out test set with an AUC of 0.84, 78% recall, and 52% precision. Following the launch of a targeted retention program in August, monthly churn fell from a peak of 7.1% (1,420 customers) to 4.3% (860 customers) by December — a 39% relative reduction, though not yet confirmed as fully attributable to the program rather than seasonal effects. This report consolidates those findings into a single narrative, presents concrete supporting evidence and customer-level examples, outlines how the results would be communicated to non-technical executive stakeholders, and closes with a prioritized, time-bound set of recommendations.</w:t>
      </w:r>
    </w:p>
    <w:p>
      <w:pPr>
        <w:pStyle w:val="Heading1"/>
        <w:spacing w:after="160" w:before="320"/>
      </w:pPr>
      <w:r>
        <w:t xml:space="preserve">1. Methodology Overview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The underlying analysis followed a structured, end-to-end approach applied to 20,000 customer records spanning 12 months of activity, including subscription tenure, product usage, billing history, and support interactions. Of 34 raw candidate fields, 8 were retained as model features after removing near-duplicate and low-signal variables and confirming each had a plausible business interpretation.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The dataset was split chronologically into 14,000 training records (70%), 3,000 validation records (15%), and 3,000 held-out test records (15%), so the model was never evaluated on customer behavior that occurred before the data it was trained on. Within the training portion, three candidate model families were compared using stratified 5-fold cross-validation, with each family tuned over 25 candidate hyperparameter configurations via randomized search. The best-performing configuration was refit on the combined training and validation data, then evaluated exactly once on the 3,000-record test set to obtain an honest, unbiased performance estimate.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Validation strategy: model selection and hyperparameter tuning decisions were made using cross-validation scores only; the test set was reserved exclusively for the single, final evaluation reported in Section 2.3, to prevent the test-set numbers from being inflated by repeated peeking. Model quality was assessed using precision, recall, F1-score, and AUC rather than accuracy alone, because the roughly 6.2% churn rate makes accuracy a misleading headline metric — a model that simply predicted "no churn" for everyone would already be 93.8% accurate while catching zero at-risk customers.</w:t>
      </w:r>
    </w:p>
    <w:p>
      <w:pPr>
        <w:pStyle w:val="Heading1"/>
        <w:spacing w:after="160" w:before="320"/>
      </w:pPr>
      <w:r>
        <w:t xml:space="preserve">2. Insights and Analysis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The analysis produced four central, quantified findings, summarized in Table 1 and illustrated in the figures that follow.</w:t>
      </w:r>
    </w:p>
    <w:p>
      <w:pPr>
        <w:spacing w:after="100" w:before="80"/>
      </w:pPr>
      <w:r>
        <w:rPr>
          <w:i/>
          <w:iCs/>
          <w:color w:val="666666"/>
          <w:sz w:val="19"/>
          <w:szCs w:val="19"/>
        </w:rPr>
        <w:t xml:space="preserve">Table 1. Summary of key findings, with concrete figures.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00"/>
        <w:gridCol w:w="3000"/>
      </w:tblGrid>
      <w:tr>
        <w:tc>
          <w:tcPr>
            <w:tcW w:type="dxa" w:w="26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1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0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Churn is concentrated in identifiable segments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 customers (0–3 months, n=2,400) churn at 11.4%; high-support-contact customers (n=1,050) churn at 14.2%; low-engagement customers (n=1,900) churn at 12.7% — all well above the 6.2% portfolio average.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These three overlapping cohorts total roughly 5,350 customer-slots (some customers counted in more than one), representing an outsized share of the ~1,240 customers who churn in a typical month.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Support friction is the strongest single churn signal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Support-ticket count in the prior 90 days carries 21% of the model's total predictive weight — the single largest of the 8 selected features.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Support-team response time and resolution quality have a direct, measurable line to retention, not just to satisfaction scores.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Engagement decline precedes cancellation by weeks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drop in 30-day login frequency is the second-most important feature (18% weight) and is typically visible 2–4 weeks before a customer cancels.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Creates a concrete outreach window: flagging customers as their engagement drops, not after they contact support to cancel.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retention program shows an early, quantifiable signal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Monthly churn fell from a peak of 7.1% (1,420 customers) in July to 4.3% (860 customers) in December, a 39% relative reduction following the August program launch.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Directionally positive, but not yet isolated from seasonal effects (see Section 4) — a controlled comparison is recommended before attributing the full decline to the program.</w:t>
            </w:r>
          </w:p>
        </w:tc>
      </w:tr>
    </w:tbl>
    <w:p>
      <w:pPr>
        <w:spacing w:after="200"/>
      </w:pPr>
    </w:p>
    <w:p>
      <w:pPr>
        <w:pStyle w:val="Heading2"/>
        <w:spacing w:after="120" w:before="220"/>
      </w:pPr>
      <w:r>
        <w:t xml:space="preserve">2.1 Churn Trend Over Time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Figure 1 shows the monthly churn rate over a 12-month period against a 6.8% industry benchmark, with monthly churned-customer counts annotated at key points. Churn rose from 1,160 customers in January to a peak of 1,420 in July, then fell steadily to 860 by December following the August program launch.</w:t>
      </w:r>
    </w:p>
    <w:p>
      <w:pPr>
        <w:spacing w:after="0" w:before="160"/>
        <w:jc w:val="center"/>
      </w:pPr>
      <w:r>
        <w:drawing>
          <wp:inline distT="0" distB="0" distL="0" distR="0">
            <wp:extent cx="542925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666666"/>
          <w:sz w:val="19"/>
          <w:szCs w:val="19"/>
        </w:rPr>
        <w:t xml:space="preserve">Figure 1. Monthly churn rate trend with concrete customer counts, against the 20,000-customer base.</w:t>
      </w:r>
    </w:p>
    <w:p>
      <w:pPr>
        <w:pStyle w:val="Heading2"/>
        <w:spacing w:after="120" w:before="220"/>
      </w:pPr>
      <w:r>
        <w:t xml:space="preserve">2.2 Key Drivers of Churn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Figure 2 ranks the 8 selected features by their contribution to the model. Support-ticket frequency (21%) and engagement-decline trend (18%) together account for 39% of the model's total predictive weight — ahead of more commonly assumed drivers such as plan type (7%) or monthly spend (9%).</w:t>
      </w:r>
    </w:p>
    <w:p>
      <w:pPr>
        <w:spacing w:after="0" w:before="160"/>
        <w:jc w:val="center"/>
      </w:pPr>
      <w:r>
        <w:drawing>
          <wp:inline distT="0" distB="0" distL="0" distR="0">
            <wp:extent cx="54292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666666"/>
          <w:sz w:val="19"/>
          <w:szCs w:val="19"/>
        </w:rPr>
        <w:t xml:space="preserve">Figure 2. Relative importance of each of the 8 selected features in the churn model.</w:t>
      </w:r>
    </w:p>
    <w:p>
      <w:pPr>
        <w:pStyle w:val="Heading2"/>
        <w:spacing w:after="120" w:before="220"/>
      </w:pPr>
      <w:r>
        <w:t xml:space="preserve">2.3 Model Reliability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Figure 3 presents model performance on the 3,000-customer held-out test set, which the model never saw during training or tuning. Of 186 actual churners in the test set, the model correctly identified 145 (78% recall) while producing 134 false alarms among the 2,814 customers who did not churn (52% precision), for a combined F1-score of 62.4% and an AUC of 0.84.</w:t>
      </w:r>
    </w:p>
    <w:p>
      <w:pPr>
        <w:spacing w:after="0" w:before="160"/>
        <w:jc w:val="center"/>
      </w:pPr>
      <w:r>
        <w:drawing>
          <wp:inline distT="0" distB="0" distL="0" distR="0">
            <wp:extent cx="5524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666666"/>
          <w:sz w:val="19"/>
          <w:szCs w:val="19"/>
        </w:rPr>
        <w:t xml:space="preserve">Figure 3. ROC curve and confusion matrix summarizing model performance, with exact test-set counts.</w:t>
      </w:r>
    </w:p>
    <w:p>
      <w:pPr>
        <w:pStyle w:val="Heading2"/>
        <w:spacing w:after="120" w:before="220"/>
      </w:pPr>
      <w:r>
        <w:t xml:space="preserve">2.4 Segment-Level Risk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Figure 4 breaks monthly churn down by customer segment, with exact customer and churn counts for each. New customers (n=2,400, 274 churned), high-support-contact customers (n=1,050, 149 churned), and low-engagement customers (n=1,900, 241 churned) all churn well above the portfolio average, while established customers (12+ months, n=10,800) churn at less than half the average rate (3.1%, 335 churned) — reinforcing tenure and support experience as priority intervention points.</w:t>
      </w:r>
    </w:p>
    <w:p>
      <w:pPr>
        <w:spacing w:after="0" w:before="160"/>
        <w:jc w:val="center"/>
      </w:pPr>
      <w:r>
        <w:drawing>
          <wp:inline distT="0" distB="0" distL="0" distR="0">
            <wp:extent cx="5524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666666"/>
          <w:sz w:val="19"/>
          <w:szCs w:val="19"/>
        </w:rPr>
        <w:t xml:space="preserve">Figure 4. Monthly churn rate and churned-customer counts across customer segments.</w:t>
      </w:r>
    </w:p>
    <w:p>
      <w:pPr>
        <w:pStyle w:val="Heading2"/>
        <w:spacing w:after="120" w:before="220"/>
      </w:pPr>
      <w:r>
        <w:t xml:space="preserve">2.5 Illustrative Customer Examples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To ground these statistics in individual cases, Table 2 walks through one true-positive and one false-positive example drawn from the pattern of test-set predictions. These illustrate both the value of early detection and the practical cost of the model's imperfect precision.</w:t>
      </w:r>
    </w:p>
    <w:p>
      <w:pPr>
        <w:spacing w:after="100" w:before="80"/>
      </w:pPr>
      <w:r>
        <w:rPr>
          <w:i/>
          <w:iCs/>
          <w:color w:val="666666"/>
          <w:sz w:val="19"/>
          <w:szCs w:val="19"/>
        </w:rPr>
        <w:t xml:space="preserve">Table 2. Illustrative customer-level examples.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4000"/>
      </w:tblGrid>
      <w:tr>
        <w:tc>
          <w:tcPr>
            <w:tcW w:type="dxa" w:w="18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39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 Pattern</w:t>
            </w:r>
          </w:p>
        </w:tc>
        <w:tc>
          <w:tcPr>
            <w:tcW w:type="dxa" w:w="20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 &amp; Lesson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Customer #48213 (true positive)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months into service; opened 4 billing-related support tickets in 45 days; 30-day login frequency fell 62% versus her first-month baseline. Model assigned a 91% churn probability on March 3.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She cancelled on March 24 — 21 days after being flagged. Under the proposed engagement-decline alert (Recommendation 3), this window would have triggered proactive outreach with 3 weeks to intervene.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Customer #33089 (false positive)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Contacted support twice in one week about a plan upgrade; briefly resembled the support-friction risk pattern. Model assigned a 78% churn probability.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She did not churn. This illustrates the model's 52% test-set precision: roughly half of flagged customers will not actually churn, so outreach should be a low-cost check-in rather than a costly discount offer.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3. Presentation Strategy for Non-Technical Stakeholders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Executive audiences respond to a clear narrative more readily than to technical detail. The presentation plan is built around a five-stage storytelling arc, shown in Figure 5, that moves the audience from an attention-getting business impact statement through supporting evidence to a specific decision.</w:t>
      </w:r>
    </w:p>
    <w:p>
      <w:pPr>
        <w:spacing w:after="0" w:before="160"/>
        <w:jc w:val="center"/>
      </w:pPr>
      <w:r>
        <w:drawing>
          <wp:inline distT="0" distB="0" distL="0" distR="0">
            <wp:extent cx="59055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666666"/>
          <w:sz w:val="19"/>
          <w:szCs w:val="19"/>
        </w:rPr>
        <w:t xml:space="preserve">Figure 5. Narrative arc used to structure the stakeholder presentation.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Within that structure, the following techniques would be used to keep the presentation accessible: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Open with a single concrete figure that frames the size of the problem (e.g., "1,240 customers left last month"), not a technical summary of the methodology.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Translate every statistical result into a plain-language business statement (e.g., "customers who contact support twice or more are more than twice as likely to leave" rather than a coefficient or importance score).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Limit each slide or section to one idea and one supporting visual; move detailed metrics (ROC-AUC, exact confusion-matrix counts) to an appendix for technical reviewers rather than the main narrative.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Use consistent color coding throughout — warm colors for risk/above-average churn, cool colors for stable/below-average performance — so visual meaning transfers across every chart without re-explanation.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Use named, specific customer examples (anonymized, as in Table 2) rather than only aggregate statistics, since a single concrete story is often more persuasive to a non-technical audience than a percentage.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Close every insight with an explicit "so what": a recommended action tied directly to the finding, not just an observation.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End with a single, specific decision or approval being requested, rather than a general list of options.</w:t>
      </w:r>
    </w:p>
    <w:p>
      <w:pPr>
        <w:pStyle w:val="Heading1"/>
        <w:spacing w:after="160" w:before="320"/>
      </w:pPr>
      <w:r>
        <w:t xml:space="preserve">4. Expected Outcomes and Challenges</w:t>
      </w:r>
    </w:p>
    <w:p>
      <w:pPr>
        <w:pStyle w:val="Heading2"/>
        <w:spacing w:after="120" w:before="220"/>
      </w:pPr>
      <w:r>
        <w:t xml:space="preserve">4.1 Expected Outcomes (Illustrative Estimate)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If the model is used to flag the top 5% of the active base each month (~1,000 customers), and the 52% test-set precision holds in production, approximately 520 of those flagged would be genuine at-risk customers reached proactively. If low-cost outreach converts even 20% of that group from "likely to cancel" to "retained" — a conservative assumption for a check-in email rather than a discount — this would preserve approximately 104 customers per month, or roughly 1,250 per year. At an average annual subscription value of $1,200, this represents an estimated $1.5M in protected annual recurring revenue, against an estimated $220,000/year cost for expanded outreach staffing capacity — a projected return of roughly 6.8x. These figures are order-of-magnitude estimates intended to size the opportunity, and should be refined once the A/B evaluation in Section 4.2 produces real conversion data.</w:t>
      </w:r>
    </w:p>
    <w:p>
      <w:pPr>
        <w:pStyle w:val="Heading2"/>
        <w:spacing w:after="120" w:before="220"/>
      </w:pPr>
      <w:r>
        <w:t xml:space="preserve">4.2 Challenges and Concrete Scenarios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The following table walks through specific, realistic scenarios the team would need to manage during rollout, rather than only naming risks abstractly.</w:t>
      </w:r>
    </w:p>
    <w:p>
      <w:pPr>
        <w:spacing w:after="100" w:before="80"/>
      </w:pPr>
      <w:r>
        <w:rPr>
          <w:i/>
          <w:iCs/>
          <w:color w:val="666666"/>
          <w:sz w:val="19"/>
          <w:szCs w:val="19"/>
        </w:rPr>
        <w:t xml:space="preserve">Table 3. Challenges illustrated with concrete scenarios.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700"/>
      </w:tblGrid>
      <w:tr>
        <w:tc>
          <w:tcPr>
            <w:tcW w:type="dxa" w:w="23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7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Concrete Scenario</w:t>
            </w:r>
          </w:p>
        </w:tc>
        <w:tc>
          <w:tcPr>
            <w:tcW w:type="dxa" w:w="20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Alert-volume mismatch with team capacity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Flagging the top 5% of the 20,000-customer base each month produces ~1,000 alerts/month; the retention team can realistically follow up on ~250/month.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Rank flagged customers by predicted probability × estimated account value, and route only the top 250 for white-glove outreach; route the remainder to a lighter-touch automated email.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Seasonal confounding of the retention-program result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observed churn decline (7.1% → 4.3%) overlaps with Q4, when a historical seasonal dip of roughly 1–2 points has occurred in prior years around the November holiday promotion period.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 a holdout group that does not receive the retention program for one quarter to isolate the program's true incremental effect from seasonality.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drift after deployment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pricing change or new competitor entering the market could shift customer behavior enough that the model's 62.4% F1-score on the original test set no longer holds.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Recompute F1 monthly on a rolling 30-day outcome sample (~500 resolved cases); trigger a retraining review if F1 drops more than 10% relative to the 0.624 launch baseline (i.e., below ~0.56).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 precision increases the cost of false alarms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 52% precision, an outreach batch of 1,000 flagged customers includes roughly 480 who were not actually going to churn (see Customer #33089).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Reserve higher-cost interventions (e.g., discounts) for the highest-confidence tier (probability &gt; 85%, ~145 customers/month) and use low-cost check-ins for the rest.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5. Recommendations for Future Work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Based on the insights above, the following actions are recommended, each with a named owner and a concrete target or timeframe rather than an open-ended commitment.</w:t>
      </w:r>
    </w:p>
    <w:p>
      <w:pPr>
        <w:spacing w:after="100" w:before="80"/>
      </w:pPr>
      <w:r>
        <w:rPr>
          <w:i/>
          <w:iCs/>
          <w:color w:val="666666"/>
          <w:sz w:val="19"/>
          <w:szCs w:val="19"/>
        </w:rPr>
        <w:t xml:space="preserve">Table 4. Recommendations with targets and timeframes.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2300"/>
        <w:gridCol w:w="1800"/>
      </w:tblGrid>
      <w:tr>
        <w:tc>
          <w:tcPr>
            <w:tcW w:type="dxa" w:w="23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3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3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/ Timeframe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Launch a structured 90-day onboarding sequence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 customers churn at 11.4%, nearly double the average; this is the highest-leverage segment by volume (n=2,400/month).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Pilot with 500 new customers within 30 days; target a 3-point reduction in this segment's churn within one quarter.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Route repeat support contacts to a retention specialist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Support-ticket frequency is the top churn predictor (21% importance); faster, higher-touch response could reduce escalation to cancellation.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Support Operations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Roll out to customers with 2+ tickets/90 days within 6 weeks.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Deploy engagement-decline alerts to the retention team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Login-frequency drops are visible 2–4 weeks before cancellation (see Customer #48213), creating a proactive-outreach window.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Data/Analytics Team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Automated weekly alert live within 45 days.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 a controlled A/B evaluation of the retention program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observed improvement overlaps with a historically low-churn quarter; a holdout group is needed to isolate the program's true effect.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Science Team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Design finalized within 2 weeks; run for one full quarter.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Establish a monthly model-monitoring review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Customer behavior evolves; a fixed F1 trigger (below ~0.56) protects against silent performance decay.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Science Team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First review scheduled 30 days post-launch, then monthly.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color w:val="444444"/>
          <w:sz w:val="22"/>
          <w:szCs w:val="22"/>
        </w:rPr>
        <w:t xml:space="preserve">Beyond these immediate actions, two longer-term extensions are worth scoping within the next two quarters: expanding the model to estimate expected revenue at risk per flagged customer (rather than churn probability alone), which would let the retention team prioritize the ~1,000 monthly alerts by dollar impact rather than treating them uniformly; and testing whether earlier-warning models (60- or 90-day horizons) preserve enough of the current 0.84 AUC to extend the intervention window beyond the current 21-day median lead time observed in cases like Customer #48213.</w:t>
      </w:r>
    </w:p>
    <w:p>
      <w:pPr>
        <w:pStyle w:val="Heading1"/>
        <w:spacing w:after="160" w:before="320"/>
      </w:pPr>
      <w:r>
        <w:t xml:space="preserve">6. Report Development Planning Process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This report itself was produced using a structured five-day, 34-hour planning cycle, illustrated in Figure 6, so that the process is auditable and repeatable for future reporting cycles rather than ad hoc.</w:t>
      </w:r>
    </w:p>
    <w:p>
      <w:pPr>
        <w:spacing w:after="0" w:before="160"/>
        <w:jc w:val="center"/>
      </w:pPr>
      <w:r>
        <w:drawing>
          <wp:inline distT="0" distB="0" distL="0" distR="0">
            <wp:extent cx="5905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666666"/>
          <w:sz w:val="19"/>
          <w:szCs w:val="19"/>
        </w:rPr>
        <w:t xml:space="preserve">Figure 6. Report development planning process, including the revision loop between drafting and review.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Each stage in Figure 6 corresponds to a specific day and produces a defined output: the Day 1 data/findings audit produces a verified set of source numbers; Day 2 insight synthesis produces the ranked findings list and case studies; Day 3 visualization design produces the five analytical figures; Day 4 produces the narrative, recommendations, and process diagrams; and Day 5 is reserved for review, rehearsal, and final polish. The dashed revision loop reflects that internal review on Day 4 can send work back to insight synthesis or visualization design if evidence gaps or unclear charts are identified, rather than assuming the first draft of each stage is final.</w:t>
      </w:r>
    </w:p>
    <w:p>
      <w:pPr>
        <w:pStyle w:val="Heading1"/>
        <w:spacing w:after="160" w:before="320"/>
      </w:pPr>
      <w:r>
        <w:t xml:space="preserve">7. Detailed Timeline and Work Allocation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Table 5 and Figure 7 break the 34-hour, 5-day plan down into 15 individually scoped tasks, replacing a single hours-per-section estimate with task-level granularity.</w:t>
      </w:r>
    </w:p>
    <w:p>
      <w:pPr>
        <w:spacing w:after="100" w:before="80"/>
      </w:pPr>
      <w:r>
        <w:rPr>
          <w:i/>
          <w:iCs/>
          <w:color w:val="666666"/>
          <w:sz w:val="19"/>
          <w:szCs w:val="19"/>
        </w:rPr>
        <w:t xml:space="preserve">Table 5. Detailed day-by-day task timeline.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100"/>
        <w:gridCol w:w="2000"/>
      </w:tblGrid>
      <w:tr>
        <w:tc>
          <w:tcPr>
            <w:tcW w:type="dxa" w:w="14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2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0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 Section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Kickoff call and confirm the three key messages for the report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Executive Summary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Audit prior analysis findings and model outputs for accuracy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Methodology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Draft methodology overview in plain, non-technical language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Methodology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Synthesize findings into a ranked list by business impact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Insights &amp; Analysis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Identify and write up 2 supporting customer case studies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Insights &amp; Analysis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Draft the findings summary table with concrete figures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Insights &amp; Analysis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churn-trend and feature-importance charts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Insights &amp; Analysis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ROC-curve/confusion-matrix and segment charts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Insights &amp; Analysis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Write visualization rationale and figure captions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Insights &amp; Analysis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Design the narrative arc and presentation strategy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Presentation Strategy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Draft recommendations with owners and target timeframes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Recommendations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the planning-process flowchart and Gantt timeline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5 (AM)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Internal review and stakeholder rehearsal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5 (PM)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Formatting, proofreading, and final polish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5 (PM)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Buffer reserved for last-minute revisions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Documentation</w:t>
            </w:r>
          </w:p>
        </w:tc>
      </w:tr>
    </w:tbl>
    <w:p>
      <w:pPr>
        <w:spacing w:after="200"/>
      </w:pPr>
    </w:p>
    <w:p>
      <w:pPr>
        <w:spacing w:after="0" w:before="160"/>
        <w:jc w:val="center"/>
      </w:pPr>
      <w:r>
        <w:drawing>
          <wp:inline distT="0" distB="0" distL="0" distR="0">
            <wp:extent cx="5905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i/>
          <w:iCs/>
          <w:color w:val="666666"/>
          <w:sz w:val="19"/>
          <w:szCs w:val="19"/>
        </w:rPr>
        <w:t xml:space="preserve">Figure 7. Gantt-style view of the same 15 tasks, showing sequencing and duration within each day.</w:t>
      </w:r>
    </w:p>
    <w:p>
      <w:pPr>
        <w:pStyle w:val="Heading1"/>
        <w:spacing w:after="160" w:before="320"/>
      </w:pPr>
      <w:r>
        <w:t xml:space="preserve">8. Visualization Rationale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Table 6 documents why each visual in this report was chosen over alternative chart types, so the choices are traceable rather than incidental.</w:t>
      </w:r>
    </w:p>
    <w:p>
      <w:pPr>
        <w:spacing w:after="100" w:before="80"/>
      </w:pPr>
      <w:r>
        <w:rPr>
          <w:i/>
          <w:iCs/>
          <w:color w:val="666666"/>
          <w:sz w:val="19"/>
          <w:szCs w:val="19"/>
        </w:rPr>
        <w:t xml:space="preserve">Table 6. Visualization rationale.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300"/>
      </w:tblGrid>
      <w:tr>
        <w:tc>
          <w:tcPr>
            <w:tcW w:type="dxa" w:w="20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4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000"/>
            <w:shd w:fill="2E4C6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Monthly churn trend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Line chart with benchmark reference and event annotation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Line charts are the clearest way to show a trend over time; the benchmark line and program-launch marker let viewers judge performance and cause-and-effect at a glance.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Horizontal bar chart, sorted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Sorted horizontal bars make ranking immediately visible and scale well to longer feature labels than a vertical layout would.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Model performance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ROC curve and confusion matrix, paired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ROC curve summarizes overall discriminative power for technical reviewers, while the confusion matrix translates that performance into concrete counts a business audience can sanity-check.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Segment comparison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Vertical bar chart with reference line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Bars with a shared baseline make it easy to compare churn rates across segments; color-coding above/below average adds a second layer of meaning without extra text.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Presentation structure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Horizontal narrative-flow diagram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five-stage flow visually reinforces the storytelling sequence used to walk stakeholders from problem to decision.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Report planning process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Horizontal process flowchart with day labels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Makes the report's own production timeline auditable and repeatable, and shows exactly where revision loops occur.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Detailed task timeline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Gantt-style horizontal timeline, color-coded by section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Shows task-level duration and sequencing within each day, which a simple table of hours cannot convey.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9. Conclusion</w:t>
      </w:r>
    </w:p>
    <w:p>
      <w:pPr>
        <w:spacing w:after="160" w:line="276"/>
      </w:pPr>
      <w:r>
        <w:rPr>
          <w:color w:val="444444"/>
          <w:sz w:val="22"/>
          <w:szCs w:val="22"/>
        </w:rPr>
        <w:t xml:space="preserve">This report consolidates a customer churn analysis into a single, decision-ready narrative for executive review, grounded throughout in concrete counts rather than abstractions: a 20,000-customer base, an 0.84 AUC model validated on a 3,000-customer held-out test set, named customer-level examples, and a fully scoped 15-task production timeline. It shows not only that churn can be predicted with strong reliability, but why customers leave, which of the 5,350 at-risk customer-slots carry the greatest priority, what specific, time-bound actions would address that risk, and what could go wrong along the way. Paired with a structured presentation strategy built for a non-technical audience and an auditable planning process, this report is intended to move stakeholders efficiently from insight to informed decision, and to establish a repeatable template for how future analytical findings from this project should be communicated across the organization.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6E8F" w:sz="6" w:space="4"/>
      </w:pBdr>
      <w:spacing w:after="160" w:before="320"/>
    </w:pPr>
    <w:rPr>
      <w:rFonts w:ascii="Calibri" w:cs="Calibri" w:eastAsia="Calibri" w:hAnsi="Calibri"/>
      <w:b/>
      <w:bCs/>
      <w:color w:val="1B2E4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color w:val="3B6E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b0b74dc679ab052e7003062fac7eb5a8170500.png"/><Relationship Id="rId8" Type="http://schemas.openxmlformats.org/officeDocument/2006/relationships/image" Target="media/d4f25e08ff2ce42e7365531d6d8cccf49a8bf391.png"/><Relationship Id="rId9" Type="http://schemas.openxmlformats.org/officeDocument/2006/relationships/image" Target="media/565995660b7c6a6d009417f159ad1aa97fc33c26.png"/><Relationship Id="rId10" Type="http://schemas.openxmlformats.org/officeDocument/2006/relationships/image" Target="media/6511bc298d806a4bb95f26052e9a9f69e7412727.png"/><Relationship Id="rId11" Type="http://schemas.openxmlformats.org/officeDocument/2006/relationships/image" Target="media/432ceff266250cbca65183ad95f8950ff14c08a8.png"/><Relationship Id="rId12" Type="http://schemas.openxmlformats.org/officeDocument/2006/relationships/image" Target="media/fb99c7c1cc56c34068b13e28361432fde657884c.png"/><Relationship Id="rId13" Type="http://schemas.openxmlformats.org/officeDocument/2006/relationships/image" Target="media/554c93753c6cde3b5b6d280ad017bbabdfa2f1e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2026-09-27T09:55:56.476Z</dcterms:created>
  <dcterms:modified xsi:type="dcterms:W3CDTF">2026-09-27T09:55:56.485Z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