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E867" w14:textId="77777777" w:rsidR="006450FA" w:rsidRPr="006450FA" w:rsidRDefault="006450FA" w:rsidP="006450FA">
      <w:pPr>
        <w:jc w:val="both"/>
        <w:rPr>
          <w:b/>
          <w:bCs/>
          <w:sz w:val="28"/>
          <w:szCs w:val="28"/>
          <w:u w:val="single"/>
        </w:rPr>
      </w:pPr>
      <w:r w:rsidRPr="006450FA">
        <w:rPr>
          <w:b/>
          <w:bCs/>
          <w:sz w:val="36"/>
          <w:szCs w:val="36"/>
          <w:u w:val="single"/>
        </w:rPr>
        <w:t>Analysis &amp; Conclusions</w:t>
      </w:r>
    </w:p>
    <w:p w14:paraId="677D9500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The analysis conducted in the project provides valuable insights into the climate resilience of Texas, North Carolina, and New York, with a focus on extreme weather events and Winter Storm Uri in 2021. Here are the key analysis findings and conclusions drawn from the project:</w:t>
      </w:r>
    </w:p>
    <w:p w14:paraId="57CA1C2E" w14:textId="77777777" w:rsidR="006450FA" w:rsidRPr="006450FA" w:rsidRDefault="006450FA" w:rsidP="006450FA">
      <w:pPr>
        <w:jc w:val="both"/>
        <w:rPr>
          <w:sz w:val="28"/>
          <w:szCs w:val="28"/>
        </w:rPr>
      </w:pPr>
    </w:p>
    <w:p w14:paraId="7FA80239" w14:textId="77777777" w:rsidR="006450FA" w:rsidRPr="006450FA" w:rsidRDefault="006450FA" w:rsidP="006450FA">
      <w:pPr>
        <w:jc w:val="both"/>
        <w:rPr>
          <w:b/>
          <w:bCs/>
          <w:sz w:val="28"/>
          <w:szCs w:val="28"/>
        </w:rPr>
      </w:pPr>
      <w:r w:rsidRPr="006450FA">
        <w:rPr>
          <w:b/>
          <w:bCs/>
          <w:sz w:val="28"/>
          <w:szCs w:val="28"/>
        </w:rPr>
        <w:t>1. Climate Resilience Screening Index (CRSI)</w:t>
      </w:r>
    </w:p>
    <w:p w14:paraId="6B6A4C06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Significant variations in CRSI values were observed among the three states, with New York leading with the highest CRSI score.</w:t>
      </w:r>
    </w:p>
    <w:p w14:paraId="67F3842E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Texas exhibited a notably lower CRSI score, indicating higher vulnerability to extreme weather events compared to North Carolina and New York.</w:t>
      </w:r>
    </w:p>
    <w:p w14:paraId="0422B840" w14:textId="77777777" w:rsidR="006450FA" w:rsidRPr="006450FA" w:rsidRDefault="006450FA" w:rsidP="006450FA">
      <w:pPr>
        <w:jc w:val="both"/>
        <w:rPr>
          <w:b/>
          <w:bCs/>
          <w:sz w:val="28"/>
          <w:szCs w:val="28"/>
        </w:rPr>
      </w:pPr>
      <w:r w:rsidRPr="006450FA">
        <w:rPr>
          <w:b/>
          <w:bCs/>
          <w:sz w:val="28"/>
          <w:szCs w:val="28"/>
        </w:rPr>
        <w:t>2. Winter Storm Uri Impact</w:t>
      </w:r>
    </w:p>
    <w:p w14:paraId="43031311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Winter Storm Uri had devastating effects, including widespread power outages, road accidents, and substantial economic costs, amounting to $26.8 billion.</w:t>
      </w:r>
    </w:p>
    <w:p w14:paraId="67FF4645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Texas, with its low CRSI score, faced significant challenges during Winter Storm Uri, highlighting the importance of resilience planning and investment.</w:t>
      </w:r>
    </w:p>
    <w:p w14:paraId="4737AFC4" w14:textId="77777777" w:rsidR="006450FA" w:rsidRPr="006450FA" w:rsidRDefault="006450FA" w:rsidP="006450FA">
      <w:pPr>
        <w:jc w:val="both"/>
        <w:rPr>
          <w:b/>
          <w:bCs/>
          <w:sz w:val="28"/>
          <w:szCs w:val="28"/>
        </w:rPr>
      </w:pPr>
      <w:r w:rsidRPr="006450FA">
        <w:rPr>
          <w:b/>
          <w:bCs/>
          <w:sz w:val="28"/>
          <w:szCs w:val="28"/>
        </w:rPr>
        <w:t>3. Response Efforts</w:t>
      </w:r>
    </w:p>
    <w:p w14:paraId="3E5EBEDB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Post-Winter Storm Uri, Texas made strides in reducing power outages, although the exact reasons for the improvement remain unclear.</w:t>
      </w:r>
    </w:p>
    <w:p w14:paraId="53CCAA6E" w14:textId="77777777" w:rsidR="006450FA" w:rsidRPr="006450FA" w:rsidRDefault="006450FA" w:rsidP="006450FA">
      <w:pPr>
        <w:jc w:val="both"/>
        <w:rPr>
          <w:sz w:val="28"/>
          <w:szCs w:val="28"/>
        </w:rPr>
      </w:pPr>
      <w:proofErr w:type="gramStart"/>
      <w:r w:rsidRPr="006450FA">
        <w:rPr>
          <w:sz w:val="28"/>
          <w:szCs w:val="28"/>
        </w:rPr>
        <w:t>It's</w:t>
      </w:r>
      <w:proofErr w:type="gramEnd"/>
      <w:r w:rsidRPr="006450FA">
        <w:rPr>
          <w:sz w:val="28"/>
          <w:szCs w:val="28"/>
        </w:rPr>
        <w:t xml:space="preserve"> suggested that the reduction in power outages may be attributed to adjustments made by ERCOT or less severe temperatures rather than comprehensive resilience measures.</w:t>
      </w:r>
    </w:p>
    <w:p w14:paraId="6DB313C0" w14:textId="77777777" w:rsidR="006450FA" w:rsidRPr="006450FA" w:rsidRDefault="006450FA" w:rsidP="006450FA">
      <w:pPr>
        <w:jc w:val="both"/>
        <w:rPr>
          <w:b/>
          <w:bCs/>
          <w:sz w:val="28"/>
          <w:szCs w:val="28"/>
        </w:rPr>
      </w:pPr>
      <w:r w:rsidRPr="006450FA">
        <w:rPr>
          <w:b/>
          <w:bCs/>
          <w:sz w:val="28"/>
          <w:szCs w:val="28"/>
        </w:rPr>
        <w:t>4. Limitations</w:t>
      </w:r>
    </w:p>
    <w:p w14:paraId="0A09AC22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The analysis encountered limitations such as incomplete data, particularly regarding past communication records and ERCOT data, which hindered a thorough understanding of the impact of weak communication systems on the grid's operations and emergency response.</w:t>
      </w:r>
    </w:p>
    <w:p w14:paraId="72743422" w14:textId="77777777" w:rsidR="006450FA" w:rsidRDefault="006450FA" w:rsidP="006450FA">
      <w:pPr>
        <w:jc w:val="both"/>
        <w:rPr>
          <w:b/>
          <w:bCs/>
          <w:sz w:val="28"/>
          <w:szCs w:val="28"/>
        </w:rPr>
      </w:pPr>
    </w:p>
    <w:p w14:paraId="301D3FBD" w14:textId="28CA42DF" w:rsidR="006450FA" w:rsidRPr="006450FA" w:rsidRDefault="006450FA" w:rsidP="006450FA">
      <w:pPr>
        <w:jc w:val="both"/>
        <w:rPr>
          <w:b/>
          <w:bCs/>
          <w:sz w:val="28"/>
          <w:szCs w:val="28"/>
        </w:rPr>
      </w:pPr>
      <w:r w:rsidRPr="006450FA">
        <w:rPr>
          <w:b/>
          <w:bCs/>
          <w:sz w:val="28"/>
          <w:szCs w:val="28"/>
        </w:rPr>
        <w:lastRenderedPageBreak/>
        <w:t>5. Conclusions</w:t>
      </w:r>
    </w:p>
    <w:p w14:paraId="6D22EFA7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The project underscores the critical need for resilience planning and investment to enhance a state's ability to withstand and recover from extreme climate events.</w:t>
      </w:r>
    </w:p>
    <w:p w14:paraId="7050CA22" w14:textId="77777777" w:rsidR="006450FA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The disparities in CRSI values among Texas, North Carolina, and New York emphasize the importance of robust resilience strategy and planning to mitigate the impact of climate change.</w:t>
      </w:r>
    </w:p>
    <w:p w14:paraId="7CD6E5C1" w14:textId="66676CEA" w:rsidR="00347DDC" w:rsidRPr="006450FA" w:rsidRDefault="006450FA" w:rsidP="006450FA">
      <w:pPr>
        <w:jc w:val="both"/>
        <w:rPr>
          <w:sz w:val="28"/>
          <w:szCs w:val="28"/>
        </w:rPr>
      </w:pPr>
      <w:r w:rsidRPr="006450FA">
        <w:rPr>
          <w:sz w:val="28"/>
          <w:szCs w:val="28"/>
        </w:rPr>
        <w:t>Despite progress in response efforts, ongoing challenges in data availability and communication systems highlight the need for transparent, accountable, and resilient infrastructure to address future climate-related hazards effectively.</w:t>
      </w:r>
    </w:p>
    <w:sectPr w:rsidR="00347DDC" w:rsidRPr="006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12A06"/>
    <w:multiLevelType w:val="multilevel"/>
    <w:tmpl w:val="A762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94050"/>
    <w:multiLevelType w:val="multilevel"/>
    <w:tmpl w:val="FAF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B141C"/>
    <w:multiLevelType w:val="multilevel"/>
    <w:tmpl w:val="6F3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FB4652"/>
    <w:multiLevelType w:val="multilevel"/>
    <w:tmpl w:val="16C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E390B"/>
    <w:multiLevelType w:val="multilevel"/>
    <w:tmpl w:val="2F8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731946">
    <w:abstractNumId w:val="0"/>
  </w:num>
  <w:num w:numId="2" w16cid:durableId="131019294">
    <w:abstractNumId w:val="1"/>
  </w:num>
  <w:num w:numId="3" w16cid:durableId="1170367849">
    <w:abstractNumId w:val="4"/>
  </w:num>
  <w:num w:numId="4" w16cid:durableId="1969118462">
    <w:abstractNumId w:val="2"/>
  </w:num>
  <w:num w:numId="5" w16cid:durableId="63931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FA"/>
    <w:rsid w:val="00347DDC"/>
    <w:rsid w:val="005B6A61"/>
    <w:rsid w:val="006450FA"/>
    <w:rsid w:val="006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790"/>
  <w15:chartTrackingRefBased/>
  <w15:docId w15:val="{2E1B938D-856E-4653-9AB8-9B5759C5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5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0F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50F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Mehta</dc:creator>
  <cp:keywords/>
  <dc:description/>
  <cp:lastModifiedBy>Shraddha Mehta</cp:lastModifiedBy>
  <cp:revision>1</cp:revision>
  <dcterms:created xsi:type="dcterms:W3CDTF">2024-05-03T03:50:00Z</dcterms:created>
  <dcterms:modified xsi:type="dcterms:W3CDTF">2024-05-03T03:54:00Z</dcterms:modified>
</cp:coreProperties>
</file>