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32238"/>
          <w:sz w:val="68"/>
        </w:rPr>
        <w:t>ENRICH SCADA</w:t>
      </w:r>
    </w:p>
    <w:p>
      <w:pPr>
        <w:jc w:val="center"/>
      </w:pPr>
      <w:r>
        <w:rPr>
          <w:b/>
          <w:sz w:val="36"/>
        </w:rPr>
        <w:t>Standard Excel Template &amp; Dynamic Device Configuration</w:t>
      </w:r>
    </w:p>
    <w:p>
      <w:pPr>
        <w:jc w:val="center"/>
      </w:pPr>
      <w:r>
        <w:rPr>
          <w:i/>
        </w:rPr>
        <w:t>Implementation specification based on Bhokar - Address Details.xlsx</w:t>
      </w:r>
    </w:p>
    <w:tbl>
      <w:tblPr>
        <w:tblStyle w:val="TableGrid"/>
        <w:tblW w:type="auto" w:w="0"/>
        <w:tblLook w:firstColumn="1" w:firstRow="1" w:lastColumn="0" w:lastRow="0" w:noHBand="0" w:noVBand="1" w:val="04A0"/>
      </w:tblPr>
      <w:tblGrid>
        <w:gridCol w:w="5141"/>
        <w:gridCol w:w="5141"/>
      </w:tblGrid>
      <w:tr>
        <w:tc>
          <w:tcPr>
            <w:tcW w:type="dxa" w:w="5141"/>
            <w:shd w:fill="132238"/>
          </w:tcPr>
          <w:p>
            <w:r>
              <w:rPr>
                <w:b/>
                <w:color w:val="FFFFFF"/>
                <w:sz w:val="16"/>
              </w:rPr>
              <w:t>Document control</w:t>
            </w:r>
          </w:p>
        </w:tc>
        <w:tc>
          <w:tcPr>
            <w:tcW w:type="dxa" w:w="5141"/>
            <w:shd w:fill="132238"/>
          </w:tcPr>
          <w:p>
            <w:r>
              <w:rPr>
                <w:b/>
                <w:color w:val="FFFFFF"/>
                <w:sz w:val="16"/>
              </w:rPr>
              <w:t>Value</w:t>
            </w:r>
          </w:p>
        </w:tc>
      </w:tr>
      <w:tr>
        <w:tc>
          <w:tcPr>
            <w:tcW w:type="dxa" w:w="5141"/>
          </w:tcPr>
          <w:p>
            <w:pPr>
              <w:spacing w:after="0"/>
            </w:pPr>
            <w:r>
              <w:rPr>
                <w:sz w:val="16"/>
              </w:rPr>
              <w:t>Version/date</w:t>
            </w:r>
          </w:p>
        </w:tc>
        <w:tc>
          <w:tcPr>
            <w:tcW w:type="dxa" w:w="5141"/>
          </w:tcPr>
          <w:p>
            <w:pPr>
              <w:spacing w:after="0"/>
            </w:pPr>
            <w:r>
              <w:rPr>
                <w:sz w:val="16"/>
              </w:rPr>
              <w:t>1.0 / 13 October 2026</w:t>
            </w:r>
          </w:p>
        </w:tc>
      </w:tr>
      <w:tr>
        <w:tc>
          <w:tcPr>
            <w:tcW w:type="dxa" w:w="5141"/>
            <w:shd w:fill="F3F6F9"/>
          </w:tcPr>
          <w:p>
            <w:pPr>
              <w:spacing w:after="0"/>
            </w:pPr>
            <w:r>
              <w:rPr>
                <w:sz w:val="16"/>
              </w:rPr>
              <w:t>Source standard</w:t>
            </w:r>
          </w:p>
        </w:tc>
        <w:tc>
          <w:tcPr>
            <w:tcW w:type="dxa" w:w="5141"/>
            <w:shd w:fill="F3F6F9"/>
          </w:tcPr>
          <w:p>
            <w:pPr>
              <w:spacing w:after="0"/>
            </w:pPr>
            <w:r>
              <w:rPr>
                <w:sz w:val="16"/>
              </w:rPr>
              <w:t>Bhokar - Address Details.xlsx</w:t>
            </w:r>
          </w:p>
        </w:tc>
      </w:tr>
      <w:tr>
        <w:tc>
          <w:tcPr>
            <w:tcW w:type="dxa" w:w="5141"/>
          </w:tcPr>
          <w:p>
            <w:pPr>
              <w:spacing w:after="0"/>
            </w:pPr>
            <w:r>
              <w:rPr>
                <w:sz w:val="16"/>
              </w:rPr>
              <w:t>Purpose</w:t>
            </w:r>
          </w:p>
        </w:tc>
        <w:tc>
          <w:tcPr>
            <w:tcW w:type="dxa" w:w="5141"/>
          </w:tcPr>
          <w:p>
            <w:pPr>
              <w:spacing w:after="0"/>
            </w:pPr>
            <w:r>
              <w:rPr>
                <w:sz w:val="16"/>
              </w:rPr>
              <w:t>Define how the SCADA EXE imports the workbook and creates dynamic devices, tags and runtime configuration.</w:t>
            </w:r>
          </w:p>
        </w:tc>
      </w:tr>
      <w:tr>
        <w:tc>
          <w:tcPr>
            <w:tcW w:type="dxa" w:w="5141"/>
            <w:shd w:fill="F3F6F9"/>
          </w:tcPr>
          <w:p>
            <w:pPr>
              <w:spacing w:after="0"/>
            </w:pPr>
            <w:r>
              <w:rPr>
                <w:sz w:val="16"/>
              </w:rPr>
              <w:t>Audience</w:t>
            </w:r>
          </w:p>
        </w:tc>
        <w:tc>
          <w:tcPr>
            <w:tcW w:type="dxa" w:w="5141"/>
            <w:shd w:fill="F3F6F9"/>
          </w:tcPr>
          <w:p>
            <w:pPr>
              <w:spacing w:after="0"/>
            </w:pPr>
            <w:r>
              <w:rPr>
                <w:sz w:val="16"/>
              </w:rPr>
              <w:t>Product owner, PLC/Modbus engineers, developers, commissioning and O&amp;M teams</w:t>
            </w:r>
          </w:p>
        </w:tc>
      </w:tr>
    </w:tbl>
    <w:p/>
    <w:p>
      <w:pPr>
        <w:jc w:val="center"/>
      </w:pPr>
      <w:r>
        <w:rPr>
          <w:b/>
          <w:color w:val="29B6F6"/>
        </w:rPr>
        <w:t>Governing rule: preserve the approved workbook format and make the software adapt to it.</w:t>
      </w:r>
    </w:p>
    <w:p>
      <w:r>
        <w:br w:type="page"/>
      </w:r>
    </w:p>
    <w:p>
      <w:pPr>
        <w:pStyle w:val="Heading1"/>
      </w:pPr>
      <w:r>
        <w:t>Contents</w:t>
      </w:r>
    </w:p>
    <w:p>
      <w:pPr>
        <w:pStyle w:val="ListBullet"/>
      </w:pPr>
      <w:r>
        <w:t>1. Purpose and principles</w:t>
      </w:r>
    </w:p>
    <w:p>
      <w:pPr>
        <w:pStyle w:val="ListBullet"/>
      </w:pPr>
      <w:r>
        <w:t>2. Actual workbook structure</w:t>
      </w:r>
    </w:p>
    <w:p>
      <w:pPr>
        <w:pStyle w:val="ListBullet"/>
      </w:pPr>
      <w:r>
        <w:t>3. Dynamic inverter port generation</w:t>
      </w:r>
    </w:p>
    <w:p>
      <w:pPr>
        <w:pStyle w:val="ListBullet"/>
      </w:pPr>
      <w:r>
        <w:t>4. Device Array groups</w:t>
      </w:r>
    </w:p>
    <w:p>
      <w:pPr>
        <w:pStyle w:val="ListBullet"/>
      </w:pPr>
      <w:r>
        <w:t>5. Import and validation workflow</w:t>
      </w:r>
    </w:p>
    <w:p>
      <w:pPr>
        <w:pStyle w:val="ListBullet"/>
      </w:pPr>
      <w:r>
        <w:t>6. Tag/address decoding rules</w:t>
      </w:r>
    </w:p>
    <w:p>
      <w:pPr>
        <w:pStyle w:val="ListBullet"/>
      </w:pPr>
      <w:r>
        <w:t>7. Installer and wizard</w:t>
      </w:r>
    </w:p>
    <w:p>
      <w:pPr>
        <w:pStyle w:val="ListBullet"/>
      </w:pPr>
      <w:r>
        <w:t>8. 24×7 runtime</w:t>
      </w:r>
    </w:p>
    <w:p>
      <w:pPr>
        <w:pStyle w:val="ListBullet"/>
      </w:pPr>
      <w:r>
        <w:t>9. Database/versioning</w:t>
      </w:r>
    </w:p>
    <w:p>
      <w:pPr>
        <w:pStyle w:val="ListBullet"/>
      </w:pPr>
      <w:r>
        <w:t>10. SCADA screens with reference images</w:t>
      </w:r>
    </w:p>
    <w:p>
      <w:pPr>
        <w:pStyle w:val="ListBullet"/>
      </w:pPr>
      <w:r>
        <w:t>11. Error handling and security</w:t>
      </w:r>
    </w:p>
    <w:p>
      <w:pPr>
        <w:pStyle w:val="ListBullet"/>
      </w:pPr>
      <w:r>
        <w:t>12. API/service contract</w:t>
      </w:r>
    </w:p>
    <w:p>
      <w:pPr>
        <w:pStyle w:val="ListBullet"/>
      </w:pPr>
      <w:r>
        <w:t>13. Commissioning checklist</w:t>
      </w:r>
    </w:p>
    <w:p>
      <w:pPr>
        <w:pStyle w:val="ListBullet"/>
      </w:pPr>
      <w:r>
        <w:t>14. Decisions requiring confirmation</w:t>
      </w:r>
    </w:p>
    <w:p>
      <w:pPr>
        <w:pStyle w:val="ListBullet"/>
      </w:pPr>
      <w:r>
        <w:t>Appendices: workbook examples and glossary</w:t>
      </w:r>
    </w:p>
    <w:p>
      <w:r>
        <w:t>Screenshots in this document are supplied visual references, not proof that the UI is already implemented or connected to live data.</w:t>
      </w:r>
    </w:p>
    <w:p>
      <w:r>
        <w:br w:type="page"/>
      </w:r>
    </w:p>
    <w:p>
      <w:pPr>
        <w:pStyle w:val="Heading1"/>
      </w:pPr>
      <w:r>
        <w:t>1. Purpose and Governing Principles</w:t>
      </w:r>
    </w:p>
    <w:p>
      <w:r>
        <w:t>This document defines the SCADA configuration path using the approved workbook “Bhokar - Address Details.xlsx”. The importer must read the standard layout, validate it and convert it into normalized configuration records. Engineers should not have to re-enter the same values into a different generic template.</w:t>
      </w:r>
    </w:p>
    <w:tbl>
      <w:tblPr>
        <w:tblStyle w:val="TableGrid"/>
        <w:tblW w:type="auto" w:w="0"/>
        <w:tblLook w:firstColumn="1" w:firstRow="1" w:lastColumn="0" w:lastRow="0" w:noHBand="0" w:noVBand="1" w:val="04A0"/>
      </w:tblPr>
      <w:tblGrid>
        <w:gridCol w:w="5141"/>
        <w:gridCol w:w="5141"/>
      </w:tblGrid>
      <w:tr>
        <w:tc>
          <w:tcPr>
            <w:tcW w:type="dxa" w:w="5141"/>
            <w:shd w:fill="132238"/>
          </w:tcPr>
          <w:p>
            <w:r>
              <w:rPr>
                <w:b/>
                <w:color w:val="FFFFFF"/>
                <w:sz w:val="16"/>
              </w:rPr>
              <w:t>Principle</w:t>
            </w:r>
          </w:p>
        </w:tc>
        <w:tc>
          <w:tcPr>
            <w:tcW w:type="dxa" w:w="5141"/>
            <w:shd w:fill="132238"/>
          </w:tcPr>
          <w:p>
            <w:r>
              <w:rPr>
                <w:b/>
                <w:color w:val="FFFFFF"/>
                <w:sz w:val="16"/>
              </w:rPr>
              <w:t>Required behavior</w:t>
            </w:r>
          </w:p>
        </w:tc>
      </w:tr>
      <w:tr>
        <w:tc>
          <w:tcPr>
            <w:tcW w:type="dxa" w:w="5141"/>
          </w:tcPr>
          <w:p>
            <w:pPr>
              <w:spacing w:after="0"/>
            </w:pPr>
            <w:r>
              <w:rPr>
                <w:sz w:val="16"/>
              </w:rPr>
              <w:t>Workbook is the contract</w:t>
            </w:r>
          </w:p>
        </w:tc>
        <w:tc>
          <w:tcPr>
            <w:tcW w:type="dxa" w:w="5141"/>
          </w:tcPr>
          <w:p>
            <w:pPr>
              <w:spacing w:after="0"/>
            </w:pPr>
            <w:r>
              <w:rPr>
                <w:sz w:val="16"/>
              </w:rPr>
              <w:t>Read the approved sheet/layout; use a versioned importer profile if the layout changes.</w:t>
            </w:r>
          </w:p>
        </w:tc>
      </w:tr>
      <w:tr>
        <w:tc>
          <w:tcPr>
            <w:tcW w:type="dxa" w:w="5141"/>
            <w:shd w:fill="F3F6F9"/>
          </w:tcPr>
          <w:p>
            <w:pPr>
              <w:spacing w:after="0"/>
            </w:pPr>
            <w:r>
              <w:rPr>
                <w:sz w:val="16"/>
              </w:rPr>
              <w:t>Dynamic devices</w:t>
            </w:r>
          </w:p>
        </w:tc>
        <w:tc>
          <w:tcPr>
            <w:tcW w:type="dxa" w:w="5141"/>
            <w:shd w:fill="F3F6F9"/>
          </w:tcPr>
          <w:p>
            <w:pPr>
              <w:spacing w:after="0"/>
            </w:pPr>
            <w:r>
              <w:rPr>
                <w:sz w:val="16"/>
              </w:rPr>
              <w:t>Generate inverter instances from the inverter count and port rule.</w:t>
            </w:r>
          </w:p>
        </w:tc>
      </w:tr>
      <w:tr>
        <w:tc>
          <w:tcPr>
            <w:tcW w:type="dxa" w:w="5141"/>
          </w:tcPr>
          <w:p>
            <w:pPr>
              <w:spacing w:after="0"/>
            </w:pPr>
            <w:r>
              <w:rPr>
                <w:sz w:val="16"/>
              </w:rPr>
              <w:t>Separate Device Array</w:t>
            </w:r>
          </w:p>
        </w:tc>
        <w:tc>
          <w:tcPr>
            <w:tcW w:type="dxa" w:w="5141"/>
          </w:tcPr>
          <w:p>
            <w:pPr>
              <w:spacing w:after="0"/>
            </w:pPr>
            <w:r>
              <w:rPr>
                <w:sz w:val="16"/>
              </w:rPr>
              <w:t>Treat WMS, Trafo, TVM, Annunciator and future groups as distinct logical devices/groups.</w:t>
            </w:r>
          </w:p>
        </w:tc>
      </w:tr>
      <w:tr>
        <w:tc>
          <w:tcPr>
            <w:tcW w:type="dxa" w:w="5141"/>
            <w:shd w:fill="F3F6F9"/>
          </w:tcPr>
          <w:p>
            <w:pPr>
              <w:spacing w:after="0"/>
            </w:pPr>
            <w:r>
              <w:rPr>
                <w:sz w:val="16"/>
              </w:rPr>
              <w:t>No hard-coded tags</w:t>
            </w:r>
          </w:p>
        </w:tc>
        <w:tc>
          <w:tcPr>
            <w:tcW w:type="dxa" w:w="5141"/>
            <w:shd w:fill="F3F6F9"/>
          </w:tcPr>
          <w:p>
            <w:pPr>
              <w:spacing w:after="0"/>
            </w:pPr>
            <w:r>
              <w:rPr>
                <w:sz w:val="16"/>
              </w:rPr>
              <w:t>Names, addresses, function codes and counts come from the workbook or approved decoding profile.</w:t>
            </w:r>
          </w:p>
        </w:tc>
      </w:tr>
      <w:tr>
        <w:tc>
          <w:tcPr>
            <w:tcW w:type="dxa" w:w="5141"/>
          </w:tcPr>
          <w:p>
            <w:pPr>
              <w:spacing w:after="0"/>
            </w:pPr>
            <w:r>
              <w:rPr>
                <w:sz w:val="16"/>
              </w:rPr>
              <w:t>Validate before activation</w:t>
            </w:r>
          </w:p>
        </w:tc>
        <w:tc>
          <w:tcPr>
            <w:tcW w:type="dxa" w:w="5141"/>
          </w:tcPr>
          <w:p>
            <w:pPr>
              <w:spacing w:after="0"/>
            </w:pPr>
            <w:r>
              <w:rPr>
                <w:sz w:val="16"/>
              </w:rPr>
              <w:t>Import → validate → preview → test → publish.</w:t>
            </w:r>
          </w:p>
        </w:tc>
      </w:tr>
      <w:tr>
        <w:tc>
          <w:tcPr>
            <w:tcW w:type="dxa" w:w="5141"/>
            <w:shd w:fill="F3F6F9"/>
          </w:tcPr>
          <w:p>
            <w:pPr>
              <w:spacing w:after="0"/>
            </w:pPr>
            <w:r>
              <w:rPr>
                <w:sz w:val="16"/>
              </w:rPr>
              <w:t>Independent runtime</w:t>
            </w:r>
          </w:p>
        </w:tc>
        <w:tc>
          <w:tcPr>
            <w:tcW w:type="dxa" w:w="5141"/>
            <w:shd w:fill="F3F6F9"/>
          </w:tcPr>
          <w:p>
            <w:pPr>
              <w:spacing w:after="0"/>
            </w:pPr>
            <w:r>
              <w:rPr>
                <w:sz w:val="16"/>
              </w:rPr>
              <w:t>Acquisition and sync continue after browser closure.</w:t>
            </w:r>
          </w:p>
        </w:tc>
      </w:tr>
      <w:tr>
        <w:tc>
          <w:tcPr>
            <w:tcW w:type="dxa" w:w="5141"/>
          </w:tcPr>
          <w:p>
            <w:pPr>
              <w:spacing w:after="0"/>
            </w:pPr>
            <w:r>
              <w:rPr>
                <w:sz w:val="16"/>
              </w:rPr>
              <w:t>Auditability</w:t>
            </w:r>
          </w:p>
        </w:tc>
        <w:tc>
          <w:tcPr>
            <w:tcW w:type="dxa" w:w="5141"/>
          </w:tcPr>
          <w:p>
            <w:pPr>
              <w:spacing w:after="0"/>
            </w:pPr>
            <w:r>
              <w:rPr>
                <w:sz w:val="16"/>
              </w:rPr>
              <w:t>Record source workbook name/hash, import user/time, warnings and published version.</w:t>
            </w:r>
          </w:p>
        </w:tc>
      </w:tr>
    </w:tbl>
    <w:p/>
    <w:p>
      <w:r>
        <w:t>Initial scope is monitoring, historian, alarms and reports. PLC writes, remote switching and safety/control commands are outside this specification unless separately reviewed.</w:t>
      </w:r>
    </w:p>
    <w:p>
      <w:pPr>
        <w:pStyle w:val="Heading1"/>
      </w:pPr>
      <w:r>
        <w:t>2. Actual Workbook Structure</w:t>
      </w:r>
    </w:p>
    <w:p>
      <w:r>
        <w:t>The uploaded workbook contains sheet “Venus 4.0MWp” with 140 rows and 11 columns. The upper rows hold site/inverter settings; the left table is the inverter parameter map; the right table is the Device Array parameter map.</w:t>
      </w:r>
    </w:p>
    <w:tbl>
      <w:tblPr>
        <w:tblStyle w:val="TableGrid"/>
        <w:tblW w:type="auto" w:w="0"/>
        <w:tblLook w:firstColumn="1" w:firstRow="1" w:lastColumn="0" w:lastRow="0" w:noHBand="0" w:noVBand="1" w:val="04A0"/>
      </w:tblPr>
      <w:tblGrid>
        <w:gridCol w:w="3427"/>
        <w:gridCol w:w="3427"/>
        <w:gridCol w:w="3427"/>
      </w:tblGrid>
      <w:tr>
        <w:tc>
          <w:tcPr>
            <w:tcW w:type="dxa" w:w="3427"/>
            <w:shd w:fill="132238"/>
          </w:tcPr>
          <w:p>
            <w:r>
              <w:rPr>
                <w:b/>
                <w:color w:val="FFFFFF"/>
                <w:sz w:val="16"/>
              </w:rPr>
              <w:t>Source field</w:t>
            </w:r>
          </w:p>
        </w:tc>
        <w:tc>
          <w:tcPr>
            <w:tcW w:type="dxa" w:w="3427"/>
            <w:shd w:fill="132238"/>
          </w:tcPr>
          <w:p>
            <w:r>
              <w:rPr>
                <w:b/>
                <w:color w:val="FFFFFF"/>
                <w:sz w:val="16"/>
              </w:rPr>
              <w:t>Value visible in workbook</w:t>
            </w:r>
          </w:p>
        </w:tc>
        <w:tc>
          <w:tcPr>
            <w:tcW w:type="dxa" w:w="3427"/>
            <w:shd w:fill="132238"/>
          </w:tcPr>
          <w:p>
            <w:r>
              <w:rPr>
                <w:b/>
                <w:color w:val="FFFFFF"/>
                <w:sz w:val="16"/>
              </w:rPr>
              <w:t>Interpretation</w:t>
            </w:r>
          </w:p>
        </w:tc>
      </w:tr>
      <w:tr>
        <w:tc>
          <w:tcPr>
            <w:tcW w:type="dxa" w:w="3427"/>
          </w:tcPr>
          <w:p>
            <w:pPr>
              <w:spacing w:after="0"/>
            </w:pPr>
            <w:r>
              <w:rPr>
                <w:sz w:val="16"/>
              </w:rPr>
              <w:t>Customer</w:t>
            </w:r>
          </w:p>
        </w:tc>
        <w:tc>
          <w:tcPr>
            <w:tcW w:type="dxa" w:w="3427"/>
          </w:tcPr>
          <w:p>
            <w:pPr>
              <w:spacing w:after="0"/>
            </w:pPr>
            <w:r>
              <w:rPr>
                <w:sz w:val="16"/>
              </w:rPr>
              <w:t>Venus Wire Industries Pvt.Ltd.</w:t>
            </w:r>
          </w:p>
        </w:tc>
        <w:tc>
          <w:tcPr>
            <w:tcW w:type="dxa" w:w="3427"/>
          </w:tcPr>
          <w:p>
            <w:pPr>
              <w:spacing w:after="0"/>
            </w:pPr>
            <w:r>
              <w:rPr>
                <w:sz w:val="16"/>
              </w:rPr>
              <w:t>Customer metadata</w:t>
            </w:r>
          </w:p>
        </w:tc>
      </w:tr>
      <w:tr>
        <w:tc>
          <w:tcPr>
            <w:tcW w:type="dxa" w:w="3427"/>
            <w:shd w:fill="F3F6F9"/>
          </w:tcPr>
          <w:p>
            <w:pPr>
              <w:spacing w:after="0"/>
            </w:pPr>
            <w:r>
              <w:rPr>
                <w:sz w:val="16"/>
              </w:rPr>
              <w:t>Site</w:t>
            </w:r>
          </w:p>
        </w:tc>
        <w:tc>
          <w:tcPr>
            <w:tcW w:type="dxa" w:w="3427"/>
            <w:shd w:fill="F3F6F9"/>
          </w:tcPr>
          <w:p>
            <w:pPr>
              <w:spacing w:after="0"/>
            </w:pPr>
            <w:r>
              <w:rPr>
                <w:sz w:val="16"/>
              </w:rPr>
              <w:t>Bhokar, MH.</w:t>
            </w:r>
          </w:p>
        </w:tc>
        <w:tc>
          <w:tcPr>
            <w:tcW w:type="dxa" w:w="3427"/>
            <w:shd w:fill="F3F6F9"/>
          </w:tcPr>
          <w:p>
            <w:pPr>
              <w:spacing w:after="0"/>
            </w:pPr>
            <w:r>
              <w:rPr>
                <w:sz w:val="16"/>
              </w:rPr>
              <w:t>Site identity</w:t>
            </w:r>
          </w:p>
        </w:tc>
      </w:tr>
      <w:tr>
        <w:tc>
          <w:tcPr>
            <w:tcW w:type="dxa" w:w="3427"/>
          </w:tcPr>
          <w:p>
            <w:pPr>
              <w:spacing w:after="0"/>
            </w:pPr>
            <w:r>
              <w:rPr>
                <w:sz w:val="16"/>
              </w:rPr>
              <w:t>Capacity</w:t>
            </w:r>
          </w:p>
        </w:tc>
        <w:tc>
          <w:tcPr>
            <w:tcW w:type="dxa" w:w="3427"/>
          </w:tcPr>
          <w:p>
            <w:pPr>
              <w:spacing w:after="0"/>
            </w:pPr>
            <w:r>
              <w:rPr>
                <w:sz w:val="16"/>
              </w:rPr>
              <w:t>2.65 MW AC, 4 MWp DC</w:t>
            </w:r>
          </w:p>
        </w:tc>
        <w:tc>
          <w:tcPr>
            <w:tcW w:type="dxa" w:w="3427"/>
          </w:tcPr>
          <w:p>
            <w:pPr>
              <w:spacing w:after="0"/>
            </w:pPr>
            <w:r>
              <w:rPr>
                <w:sz w:val="16"/>
              </w:rPr>
              <w:t>Store AC/DC capacity separately where possible</w:t>
            </w:r>
          </w:p>
        </w:tc>
      </w:tr>
      <w:tr>
        <w:tc>
          <w:tcPr>
            <w:tcW w:type="dxa" w:w="3427"/>
            <w:shd w:fill="F3F6F9"/>
          </w:tcPr>
          <w:p>
            <w:pPr>
              <w:spacing w:after="0"/>
            </w:pPr>
            <w:r>
              <w:rPr>
                <w:sz w:val="16"/>
              </w:rPr>
              <w:t>Inverter Make / Count</w:t>
            </w:r>
          </w:p>
        </w:tc>
        <w:tc>
          <w:tcPr>
            <w:tcW w:type="dxa" w:w="3427"/>
            <w:shd w:fill="F3F6F9"/>
          </w:tcPr>
          <w:p>
            <w:pPr>
              <w:spacing w:after="0"/>
            </w:pPr>
            <w:r>
              <w:rPr>
                <w:sz w:val="16"/>
              </w:rPr>
              <w:t>Hopewind / 08 Nos</w:t>
            </w:r>
          </w:p>
        </w:tc>
        <w:tc>
          <w:tcPr>
            <w:tcW w:type="dxa" w:w="3427"/>
            <w:shd w:fill="F3F6F9"/>
          </w:tcPr>
          <w:p>
            <w:pPr>
              <w:spacing w:after="0"/>
            </w:pPr>
            <w:r>
              <w:rPr>
                <w:sz w:val="16"/>
              </w:rPr>
              <w:t>Manufacturer and number of generated inverter instances</w:t>
            </w:r>
          </w:p>
        </w:tc>
      </w:tr>
      <w:tr>
        <w:tc>
          <w:tcPr>
            <w:tcW w:type="dxa" w:w="3427"/>
          </w:tcPr>
          <w:p>
            <w:pPr>
              <w:spacing w:after="0"/>
            </w:pPr>
            <w:r>
              <w:rPr>
                <w:sz w:val="16"/>
              </w:rPr>
              <w:t>Function Code</w:t>
            </w:r>
          </w:p>
        </w:tc>
        <w:tc>
          <w:tcPr>
            <w:tcW w:type="dxa" w:w="3427"/>
          </w:tcPr>
          <w:p>
            <w:pPr>
              <w:spacing w:after="0"/>
            </w:pPr>
            <w:r>
              <w:rPr>
                <w:sz w:val="16"/>
              </w:rPr>
              <w:t>FC3 / Holding</w:t>
            </w:r>
          </w:p>
        </w:tc>
        <w:tc>
          <w:tcPr>
            <w:tcW w:type="dxa" w:w="3427"/>
          </w:tcPr>
          <w:p>
            <w:pPr>
              <w:spacing w:after="0"/>
            </w:pPr>
            <w:r>
              <w:rPr>
                <w:sz w:val="16"/>
              </w:rPr>
              <w:t>Modbus operation/register profile; confirm normalization</w:t>
            </w:r>
          </w:p>
        </w:tc>
      </w:tr>
      <w:tr>
        <w:tc>
          <w:tcPr>
            <w:tcW w:type="dxa" w:w="3427"/>
            <w:shd w:fill="F3F6F9"/>
          </w:tcPr>
          <w:p>
            <w:pPr>
              <w:spacing w:after="0"/>
            </w:pPr>
            <w:r>
              <w:rPr>
                <w:sz w:val="16"/>
              </w:rPr>
              <w:t>Inverter endpoint</w:t>
            </w:r>
          </w:p>
        </w:tc>
        <w:tc>
          <w:tcPr>
            <w:tcW w:type="dxa" w:w="3427"/>
            <w:shd w:fill="F3F6F9"/>
          </w:tcPr>
          <w:p>
            <w:pPr>
              <w:spacing w:after="0"/>
            </w:pPr>
            <w:r>
              <w:rPr>
                <w:sz w:val="16"/>
              </w:rPr>
              <w:t>IP 192.168.X.X; base port 501</w:t>
            </w:r>
          </w:p>
        </w:tc>
        <w:tc>
          <w:tcPr>
            <w:tcW w:type="dxa" w:w="3427"/>
            <w:shd w:fill="F3F6F9"/>
          </w:tcPr>
          <w:p>
            <w:pPr>
              <w:spacing w:after="0"/>
            </w:pPr>
            <w:r>
              <w:rPr>
                <w:sz w:val="16"/>
              </w:rPr>
              <w:t>Shared IP and sequential inverter ports described in workbook</w:t>
            </w:r>
          </w:p>
        </w:tc>
      </w:tr>
      <w:tr>
        <w:tc>
          <w:tcPr>
            <w:tcW w:type="dxa" w:w="3427"/>
          </w:tcPr>
          <w:p>
            <w:pPr>
              <w:spacing w:after="0"/>
            </w:pPr>
            <w:r>
              <w:rPr>
                <w:sz w:val="16"/>
              </w:rPr>
              <w:t>Inverter Start / Data Count</w:t>
            </w:r>
          </w:p>
        </w:tc>
        <w:tc>
          <w:tcPr>
            <w:tcW w:type="dxa" w:w="3427"/>
          </w:tcPr>
          <w:p>
            <w:pPr>
              <w:spacing w:after="0"/>
            </w:pPr>
            <w:r>
              <w:rPr>
                <w:sz w:val="16"/>
              </w:rPr>
              <w:t>1 / 124</w:t>
            </w:r>
          </w:p>
        </w:tc>
        <w:tc>
          <w:tcPr>
            <w:tcW w:type="dxa" w:w="3427"/>
          </w:tcPr>
          <w:p>
            <w:pPr>
              <w:spacing w:after="0"/>
            </w:pPr>
            <w:r>
              <w:rPr>
                <w:sz w:val="16"/>
              </w:rPr>
              <w:t>Metadata requiring agreed address/count semantics</w:t>
            </w:r>
          </w:p>
        </w:tc>
      </w:tr>
      <w:tr>
        <w:tc>
          <w:tcPr>
            <w:tcW w:type="dxa" w:w="3427"/>
            <w:shd w:fill="F3F6F9"/>
          </w:tcPr>
          <w:p>
            <w:pPr>
              <w:spacing w:after="0"/>
            </w:pPr>
            <w:r>
              <w:rPr>
                <w:sz w:val="16"/>
              </w:rPr>
              <w:t>Device Array endpoint</w:t>
            </w:r>
          </w:p>
        </w:tc>
        <w:tc>
          <w:tcPr>
            <w:tcW w:type="dxa" w:w="3427"/>
            <w:shd w:fill="F3F6F9"/>
          </w:tcPr>
          <w:p>
            <w:pPr>
              <w:spacing w:after="0"/>
            </w:pPr>
            <w:r>
              <w:rPr>
                <w:sz w:val="16"/>
              </w:rPr>
              <w:t>IP Other Paramerts; port None</w:t>
            </w:r>
          </w:p>
        </w:tc>
        <w:tc>
          <w:tcPr>
            <w:tcW w:type="dxa" w:w="3427"/>
            <w:shd w:fill="F3F6F9"/>
          </w:tcPr>
          <w:p>
            <w:pPr>
              <w:spacing w:after="0"/>
            </w:pPr>
            <w:r>
              <w:rPr>
                <w:sz w:val="16"/>
              </w:rPr>
              <w:t>Separate endpoint for additional device group</w:t>
            </w:r>
          </w:p>
        </w:tc>
      </w:tr>
      <w:tr>
        <w:tc>
          <w:tcPr>
            <w:tcW w:type="dxa" w:w="3427"/>
          </w:tcPr>
          <w:p>
            <w:pPr>
              <w:spacing w:after="0"/>
            </w:pPr>
            <w:r>
              <w:rPr>
                <w:sz w:val="16"/>
              </w:rPr>
              <w:t>Device Array Start / Data Count</w:t>
            </w:r>
          </w:p>
        </w:tc>
        <w:tc>
          <w:tcPr>
            <w:tcW w:type="dxa" w:w="3427"/>
          </w:tcPr>
          <w:p>
            <w:pPr>
              <w:spacing w:after="0"/>
            </w:pPr>
            <w:r>
              <w:rPr>
                <w:sz w:val="16"/>
              </w:rPr>
              <w:t>None / None</w:t>
            </w:r>
          </w:p>
        </w:tc>
        <w:tc>
          <w:tcPr>
            <w:tcW w:type="dxa" w:w="3427"/>
          </w:tcPr>
          <w:p>
            <w:pPr>
              <w:spacing w:after="0"/>
            </w:pPr>
            <w:r>
              <w:rPr>
                <w:sz w:val="16"/>
              </w:rPr>
              <w:t>Separate array-section configuration</w:t>
            </w:r>
          </w:p>
        </w:tc>
      </w:tr>
      <w:tr>
        <w:tc>
          <w:tcPr>
            <w:tcW w:type="dxa" w:w="3427"/>
            <w:shd w:fill="F3F6F9"/>
          </w:tcPr>
          <w:p>
            <w:pPr>
              <w:spacing w:after="0"/>
            </w:pPr>
            <w:r>
              <w:rPr>
                <w:sz w:val="16"/>
              </w:rPr>
              <w:t>Inverter table</w:t>
            </w:r>
          </w:p>
        </w:tc>
        <w:tc>
          <w:tcPr>
            <w:tcW w:type="dxa" w:w="3427"/>
            <w:shd w:fill="F3F6F9"/>
          </w:tcPr>
          <w:p>
            <w:pPr>
              <w:spacing w:after="0"/>
            </w:pPr>
            <w:r>
              <w:rPr>
                <w:sz w:val="16"/>
              </w:rPr>
              <w:t>Sr. No. / Parameters / Address</w:t>
            </w:r>
          </w:p>
        </w:tc>
        <w:tc>
          <w:tcPr>
            <w:tcW w:type="dxa" w:w="3427"/>
            <w:shd w:fill="F3F6F9"/>
          </w:tcPr>
          <w:p>
            <w:pPr>
              <w:spacing w:after="0"/>
            </w:pPr>
            <w:r>
              <w:rPr>
                <w:sz w:val="16"/>
              </w:rPr>
              <w:t>Parameter-to-address mapping</w:t>
            </w:r>
          </w:p>
        </w:tc>
      </w:tr>
      <w:tr>
        <w:tc>
          <w:tcPr>
            <w:tcW w:type="dxa" w:w="3427"/>
          </w:tcPr>
          <w:p>
            <w:pPr>
              <w:spacing w:after="0"/>
            </w:pPr>
            <w:r>
              <w:rPr>
                <w:sz w:val="16"/>
              </w:rPr>
              <w:t>Device Array table</w:t>
            </w:r>
          </w:p>
        </w:tc>
        <w:tc>
          <w:tcPr>
            <w:tcW w:type="dxa" w:w="3427"/>
          </w:tcPr>
          <w:p>
            <w:pPr>
              <w:spacing w:after="0"/>
            </w:pPr>
            <w:r>
              <w:rPr>
                <w:sz w:val="16"/>
              </w:rPr>
              <w:t>Sr. No. / Parameters / Address / Device Name</w:t>
            </w:r>
          </w:p>
        </w:tc>
        <w:tc>
          <w:tcPr>
            <w:tcW w:type="dxa" w:w="3427"/>
          </w:tcPr>
          <w:p>
            <w:pPr>
              <w:spacing w:after="0"/>
            </w:pPr>
            <w:r>
              <w:rPr>
                <w:sz w:val="16"/>
              </w:rPr>
              <w:t>Additional equipment mapping grouped by Device Name</w:t>
            </w:r>
          </w:p>
        </w:tc>
      </w:tr>
    </w:tbl>
    <w:p/>
    <w:tbl>
      <w:tblPr>
        <w:tblStyle w:val="TableGrid"/>
        <w:tblW w:type="auto" w:w="0"/>
        <w:tblLook w:firstColumn="1" w:firstRow="1" w:lastColumn="0" w:lastRow="0" w:noHBand="0" w:noVBand="1" w:val="04A0"/>
      </w:tblPr>
      <w:tblGrid>
        <w:gridCol w:w="3427"/>
        <w:gridCol w:w="3427"/>
        <w:gridCol w:w="3427"/>
      </w:tblGrid>
      <w:tr>
        <w:tc>
          <w:tcPr>
            <w:tcW w:type="dxa" w:w="3427"/>
            <w:shd w:fill="132238"/>
          </w:tcPr>
          <w:p>
            <w:r>
              <w:rPr>
                <w:b/>
                <w:color w:val="FFFFFF"/>
                <w:sz w:val="16"/>
              </w:rPr>
              <w:t>Area</w:t>
            </w:r>
          </w:p>
        </w:tc>
        <w:tc>
          <w:tcPr>
            <w:tcW w:type="dxa" w:w="3427"/>
            <w:shd w:fill="132238"/>
          </w:tcPr>
          <w:p>
            <w:r>
              <w:rPr>
                <w:b/>
                <w:color w:val="FFFFFF"/>
                <w:sz w:val="16"/>
              </w:rPr>
              <w:t>Current workbook cells (observed)</w:t>
            </w:r>
          </w:p>
        </w:tc>
        <w:tc>
          <w:tcPr>
            <w:tcW w:type="dxa" w:w="3427"/>
            <w:shd w:fill="132238"/>
          </w:tcPr>
          <w:p>
            <w:r>
              <w:rPr>
                <w:b/>
                <w:color w:val="FFFFFF"/>
                <w:sz w:val="16"/>
              </w:rPr>
              <w:t>Use</w:t>
            </w:r>
          </w:p>
        </w:tc>
      </w:tr>
      <w:tr>
        <w:tc>
          <w:tcPr>
            <w:tcW w:type="dxa" w:w="3427"/>
          </w:tcPr>
          <w:p>
            <w:pPr>
              <w:spacing w:after="0"/>
            </w:pPr>
            <w:r>
              <w:rPr>
                <w:sz w:val="16"/>
              </w:rPr>
              <w:t>Site summary</w:t>
            </w:r>
          </w:p>
        </w:tc>
        <w:tc>
          <w:tcPr>
            <w:tcW w:type="dxa" w:w="3427"/>
          </w:tcPr>
          <w:p>
            <w:pPr>
              <w:spacing w:after="0"/>
            </w:pPr>
            <w:r>
              <w:rPr>
                <w:sz w:val="16"/>
              </w:rPr>
              <w:t>B2:D6</w:t>
            </w:r>
          </w:p>
        </w:tc>
        <w:tc>
          <w:tcPr>
            <w:tcW w:type="dxa" w:w="3427"/>
          </w:tcPr>
          <w:p>
            <w:pPr>
              <w:spacing w:after="0"/>
            </w:pPr>
            <w:r>
              <w:rPr>
                <w:sz w:val="16"/>
              </w:rPr>
              <w:t>Customer, site, capacity, make/count and function metadata</w:t>
            </w:r>
          </w:p>
        </w:tc>
      </w:tr>
      <w:tr>
        <w:tc>
          <w:tcPr>
            <w:tcW w:type="dxa" w:w="3427"/>
            <w:shd w:fill="F3F6F9"/>
          </w:tcPr>
          <w:p>
            <w:pPr>
              <w:spacing w:after="0"/>
            </w:pPr>
            <w:r>
              <w:rPr>
                <w:sz w:val="16"/>
              </w:rPr>
              <w:t>Inverter endpoint</w:t>
            </w:r>
          </w:p>
        </w:tc>
        <w:tc>
          <w:tcPr>
            <w:tcW w:type="dxa" w:w="3427"/>
            <w:shd w:fill="F3F6F9"/>
          </w:tcPr>
          <w:p>
            <w:pPr>
              <w:spacing w:after="0"/>
            </w:pPr>
            <w:r>
              <w:rPr>
                <w:sz w:val="16"/>
              </w:rPr>
              <w:t>B9:D12</w:t>
            </w:r>
          </w:p>
        </w:tc>
        <w:tc>
          <w:tcPr>
            <w:tcW w:type="dxa" w:w="3427"/>
            <w:shd w:fill="F3F6F9"/>
          </w:tcPr>
          <w:p>
            <w:pPr>
              <w:spacing w:after="0"/>
            </w:pPr>
            <w:r>
              <w:rPr>
                <w:sz w:val="16"/>
              </w:rPr>
              <w:t>IP, base port, start address and data count</w:t>
            </w:r>
          </w:p>
        </w:tc>
      </w:tr>
      <w:tr>
        <w:tc>
          <w:tcPr>
            <w:tcW w:type="dxa" w:w="3427"/>
          </w:tcPr>
          <w:p>
            <w:pPr>
              <w:spacing w:after="0"/>
            </w:pPr>
            <w:r>
              <w:rPr>
                <w:sz w:val="16"/>
              </w:rPr>
              <w:t>Device Array endpoint</w:t>
            </w:r>
          </w:p>
        </w:tc>
        <w:tc>
          <w:tcPr>
            <w:tcW w:type="dxa" w:w="3427"/>
          </w:tcPr>
          <w:p>
            <w:pPr>
              <w:spacing w:after="0"/>
            </w:pPr>
            <w:r>
              <w:rPr>
                <w:sz w:val="16"/>
              </w:rPr>
              <w:t>G9:J12</w:t>
            </w:r>
          </w:p>
        </w:tc>
        <w:tc>
          <w:tcPr>
            <w:tcW w:type="dxa" w:w="3427"/>
          </w:tcPr>
          <w:p>
            <w:pPr>
              <w:spacing w:after="0"/>
            </w:pPr>
            <w:r>
              <w:rPr>
                <w:sz w:val="16"/>
              </w:rPr>
              <w:t>IP, port, start address and data count</w:t>
            </w:r>
          </w:p>
        </w:tc>
      </w:tr>
      <w:tr>
        <w:tc>
          <w:tcPr>
            <w:tcW w:type="dxa" w:w="3427"/>
            <w:shd w:fill="F3F6F9"/>
          </w:tcPr>
          <w:p>
            <w:pPr>
              <w:spacing w:after="0"/>
            </w:pPr>
            <w:r>
              <w:rPr>
                <w:sz w:val="16"/>
              </w:rPr>
              <w:t>Inverter mapping</w:t>
            </w:r>
          </w:p>
        </w:tc>
        <w:tc>
          <w:tcPr>
            <w:tcW w:type="dxa" w:w="3427"/>
            <w:shd w:fill="F3F6F9"/>
          </w:tcPr>
          <w:p>
            <w:pPr>
              <w:spacing w:after="0"/>
            </w:pPr>
            <w:r>
              <w:rPr>
                <w:sz w:val="16"/>
              </w:rPr>
              <w:t>B:D from row 15 onward</w:t>
            </w:r>
          </w:p>
        </w:tc>
        <w:tc>
          <w:tcPr>
            <w:tcW w:type="dxa" w:w="3427"/>
            <w:shd w:fill="F3F6F9"/>
          </w:tcPr>
          <w:p>
            <w:pPr>
              <w:spacing w:after="0"/>
            </w:pPr>
            <w:r>
              <w:rPr>
                <w:sz w:val="16"/>
              </w:rPr>
              <w:t>Serial number, parameter, address</w:t>
            </w:r>
          </w:p>
        </w:tc>
      </w:tr>
      <w:tr>
        <w:tc>
          <w:tcPr>
            <w:tcW w:type="dxa" w:w="3427"/>
          </w:tcPr>
          <w:p>
            <w:pPr>
              <w:spacing w:after="0"/>
            </w:pPr>
            <w:r>
              <w:rPr>
                <w:sz w:val="16"/>
              </w:rPr>
              <w:t>Device Array mapping</w:t>
            </w:r>
          </w:p>
        </w:tc>
        <w:tc>
          <w:tcPr>
            <w:tcW w:type="dxa" w:w="3427"/>
          </w:tcPr>
          <w:p>
            <w:pPr>
              <w:spacing w:after="0"/>
            </w:pPr>
            <w:r>
              <w:rPr>
                <w:sz w:val="16"/>
              </w:rPr>
              <w:t>G:J from row 15 onward</w:t>
            </w:r>
          </w:p>
        </w:tc>
        <w:tc>
          <w:tcPr>
            <w:tcW w:type="dxa" w:w="3427"/>
          </w:tcPr>
          <w:p>
            <w:pPr>
              <w:spacing w:after="0"/>
            </w:pPr>
            <w:r>
              <w:rPr>
                <w:sz w:val="16"/>
              </w:rPr>
              <w:t>Serial number, parameter, address, Device Name</w:t>
            </w:r>
          </w:p>
        </w:tc>
      </w:tr>
    </w:tbl>
    <w:p/>
    <w:p>
      <w:r>
        <w:t>The current layout is the import contract. If the team changes row/column positions, the importer should detect the mismatch and request a new importer profile rather than silently misread values.</w:t>
      </w:r>
    </w:p>
    <w:p>
      <w:pPr>
        <w:pStyle w:val="Heading1"/>
      </w:pPr>
      <w:r>
        <w:t>3. Dynamic Inverter Port Generation</w:t>
      </w:r>
    </w:p>
    <w:p>
      <w:r>
        <w:t>The workbook example describes 8 inverters on the same configured IP, using ports 501–508, and the Device Array endpoint on port 509. The planned 10-inverter example uses ports 501–510 and Device Array port 511.</w:t>
      </w:r>
    </w:p>
    <w:tbl>
      <w:tblPr>
        <w:tblStyle w:val="TableGrid"/>
        <w:tblW w:type="auto" w:w="0"/>
        <w:tblLook w:firstColumn="1" w:firstRow="1" w:lastColumn="0" w:lastRow="0" w:noHBand="0" w:noVBand="1" w:val="04A0"/>
      </w:tblPr>
      <w:tblGrid>
        <w:gridCol w:w="10282"/>
      </w:tblGrid>
      <w:tr>
        <w:tc>
          <w:tcPr>
            <w:tcW w:type="dxa" w:w="10282"/>
            <w:shd w:fill="F1F5F9"/>
          </w:tcPr>
          <w:p>
            <w:pPr>
              <w:spacing w:after="0"/>
            </w:pPr>
            <w:r/>
            <w:r>
              <w:rPr>
                <w:rFonts w:ascii="Consolas" w:hAnsi="Consolas"/>
                <w:color w:val="132238"/>
                <w:sz w:val="16"/>
              </w:rPr>
              <w:t>8-inverter workbook example:</w:t>
            </w:r>
          </w:p>
          <w:p>
            <w:pPr>
              <w:spacing w:after="0"/>
            </w:pPr>
            <w:r>
              <w:rPr>
                <w:rFonts w:ascii="Consolas" w:hAnsi="Consolas"/>
                <w:color w:val="132238"/>
                <w:sz w:val="16"/>
              </w:rPr>
              <w:t>INV-01 → configured IP : 501</w:t>
            </w:r>
          </w:p>
          <w:p>
            <w:pPr>
              <w:spacing w:after="0"/>
            </w:pPr>
            <w:r>
              <w:rPr>
                <w:rFonts w:ascii="Consolas" w:hAnsi="Consolas"/>
                <w:color w:val="132238"/>
                <w:sz w:val="16"/>
              </w:rPr>
              <w:t>INV-02 → configured IP : 502</w:t>
            </w:r>
          </w:p>
          <w:p>
            <w:pPr>
              <w:spacing w:after="0"/>
            </w:pPr>
            <w:r>
              <w:rPr>
                <w:rFonts w:ascii="Consolas" w:hAnsi="Consolas"/>
                <w:color w:val="132238"/>
                <w:sz w:val="16"/>
              </w:rPr>
              <w:t>...</w:t>
            </w:r>
          </w:p>
          <w:p>
            <w:pPr>
              <w:spacing w:after="0"/>
            </w:pPr>
            <w:r>
              <w:rPr>
                <w:rFonts w:ascii="Consolas" w:hAnsi="Consolas"/>
                <w:color w:val="132238"/>
                <w:sz w:val="16"/>
              </w:rPr>
              <w:t>INV-08 → configured IP : 508</w:t>
            </w:r>
          </w:p>
          <w:p>
            <w:pPr>
              <w:spacing w:after="0"/>
            </w:pPr>
            <w:r>
              <w:rPr>
                <w:rFonts w:ascii="Consolas" w:hAnsi="Consolas"/>
                <w:color w:val="132238"/>
                <w:sz w:val="16"/>
              </w:rPr>
              <w:t>Device Array → configured IP : 509</w:t>
            </w:r>
          </w:p>
          <w:p>
            <w:pPr>
              <w:spacing w:after="0"/>
            </w:pPr>
            <w:r>
              <w:rPr>
                <w:rFonts w:ascii="Consolas" w:hAnsi="Consolas"/>
                <w:color w:val="132238"/>
                <w:sz w:val="16"/>
              </w:rPr>
            </w:r>
          </w:p>
          <w:p>
            <w:pPr>
              <w:spacing w:after="0"/>
            </w:pPr>
            <w:r>
              <w:rPr>
                <w:rFonts w:ascii="Consolas" w:hAnsi="Consolas"/>
                <w:color w:val="132238"/>
                <w:sz w:val="16"/>
              </w:rPr>
              <w:t>10-inverter planned example:</w:t>
            </w:r>
          </w:p>
          <w:p>
            <w:pPr>
              <w:spacing w:after="0"/>
            </w:pPr>
            <w:r>
              <w:rPr>
                <w:rFonts w:ascii="Consolas" w:hAnsi="Consolas"/>
                <w:color w:val="132238"/>
                <w:sz w:val="16"/>
              </w:rPr>
              <w:t>INV-01 → configured IP : 501</w:t>
            </w:r>
          </w:p>
          <w:p>
            <w:pPr>
              <w:spacing w:after="0"/>
            </w:pPr>
            <w:r>
              <w:rPr>
                <w:rFonts w:ascii="Consolas" w:hAnsi="Consolas"/>
                <w:color w:val="132238"/>
                <w:sz w:val="16"/>
              </w:rPr>
              <w:t>...</w:t>
            </w:r>
          </w:p>
          <w:p>
            <w:pPr>
              <w:spacing w:after="0"/>
            </w:pPr>
            <w:r>
              <w:rPr>
                <w:rFonts w:ascii="Consolas" w:hAnsi="Consolas"/>
                <w:color w:val="132238"/>
                <w:sz w:val="16"/>
              </w:rPr>
              <w:t>INV-10 → configured IP : 510</w:t>
            </w:r>
          </w:p>
          <w:p>
            <w:pPr>
              <w:spacing w:after="0"/>
            </w:pPr>
            <w:r>
              <w:rPr>
                <w:rFonts w:ascii="Consolas" w:hAnsi="Consolas"/>
                <w:color w:val="132238"/>
                <w:sz w:val="16"/>
              </w:rPr>
              <w:t>Device Array → configured IP : 511</w:t>
            </w:r>
          </w:p>
        </w:tc>
      </w:tr>
    </w:tbl>
    <w:p/>
    <w:tbl>
      <w:tblPr>
        <w:tblStyle w:val="TableGrid"/>
        <w:tblW w:type="auto" w:w="0"/>
        <w:tblLook w:firstColumn="1" w:firstRow="1" w:lastColumn="0" w:lastRow="0" w:noHBand="0" w:noVBand="1" w:val="04A0"/>
      </w:tblPr>
      <w:tblGrid>
        <w:gridCol w:w="5141"/>
        <w:gridCol w:w="5141"/>
      </w:tblGrid>
      <w:tr>
        <w:tc>
          <w:tcPr>
            <w:tcW w:type="dxa" w:w="5141"/>
            <w:shd w:fill="132238"/>
          </w:tcPr>
          <w:p>
            <w:r>
              <w:rPr>
                <w:b/>
                <w:color w:val="FFFFFF"/>
                <w:sz w:val="16"/>
              </w:rPr>
              <w:t>Field</w:t>
            </w:r>
          </w:p>
        </w:tc>
        <w:tc>
          <w:tcPr>
            <w:tcW w:type="dxa" w:w="5141"/>
            <w:shd w:fill="132238"/>
          </w:tcPr>
          <w:p>
            <w:r>
              <w:rPr>
                <w:b/>
                <w:color w:val="FFFFFF"/>
                <w:sz w:val="16"/>
              </w:rPr>
              <w:t>Rule</w:t>
            </w:r>
          </w:p>
        </w:tc>
      </w:tr>
      <w:tr>
        <w:tc>
          <w:tcPr>
            <w:tcW w:type="dxa" w:w="5141"/>
          </w:tcPr>
          <w:p>
            <w:pPr>
              <w:spacing w:after="0"/>
            </w:pPr>
            <w:r>
              <w:rPr>
                <w:sz w:val="16"/>
              </w:rPr>
              <w:t>Inverter count</w:t>
            </w:r>
          </w:p>
        </w:tc>
        <w:tc>
          <w:tcPr>
            <w:tcW w:type="dxa" w:w="5141"/>
          </w:tcPr>
          <w:p>
            <w:pPr>
              <w:spacing w:after="0"/>
            </w:pPr>
            <w:r>
              <w:rPr>
                <w:sz w:val="16"/>
              </w:rPr>
              <w:t>Parse “08 Nos” as integer 8; require positive integer.</w:t>
            </w:r>
          </w:p>
        </w:tc>
      </w:tr>
      <w:tr>
        <w:tc>
          <w:tcPr>
            <w:tcW w:type="dxa" w:w="5141"/>
            <w:shd w:fill="F3F6F9"/>
          </w:tcPr>
          <w:p>
            <w:pPr>
              <w:spacing w:after="0"/>
            </w:pPr>
            <w:r>
              <w:rPr>
                <w:sz w:val="16"/>
              </w:rPr>
              <w:t>Base port</w:t>
            </w:r>
          </w:p>
        </w:tc>
        <w:tc>
          <w:tcPr>
            <w:tcW w:type="dxa" w:w="5141"/>
            <w:shd w:fill="F3F6F9"/>
          </w:tcPr>
          <w:p>
            <w:pPr>
              <w:spacing w:after="0"/>
            </w:pPr>
            <w:r>
              <w:rPr>
                <w:sz w:val="16"/>
              </w:rPr>
              <w:t>Read from workbook; validate 1–65535.</w:t>
            </w:r>
          </w:p>
        </w:tc>
      </w:tr>
      <w:tr>
        <w:tc>
          <w:tcPr>
            <w:tcW w:type="dxa" w:w="5141"/>
          </w:tcPr>
          <w:p>
            <w:pPr>
              <w:spacing w:after="0"/>
            </w:pPr>
            <w:r>
              <w:rPr>
                <w:sz w:val="16"/>
              </w:rPr>
              <w:t>Port formula</w:t>
            </w:r>
          </w:p>
        </w:tc>
        <w:tc>
          <w:tcPr>
            <w:tcW w:type="dxa" w:w="5141"/>
          </w:tcPr>
          <w:p>
            <w:pPr>
              <w:spacing w:after="0"/>
            </w:pPr>
            <w:r>
              <w:rPr>
                <w:sz w:val="16"/>
              </w:rPr>
              <w:t>inverter_port(i) = base_port + (i - 1), where i starts at 1.</w:t>
            </w:r>
          </w:p>
        </w:tc>
      </w:tr>
      <w:tr>
        <w:tc>
          <w:tcPr>
            <w:tcW w:type="dxa" w:w="5141"/>
            <w:shd w:fill="F3F6F9"/>
          </w:tcPr>
          <w:p>
            <w:pPr>
              <w:spacing w:after="0"/>
            </w:pPr>
            <w:r>
              <w:rPr>
                <w:sz w:val="16"/>
              </w:rPr>
              <w:t>Shared IP</w:t>
            </w:r>
          </w:p>
        </w:tc>
        <w:tc>
          <w:tcPr>
            <w:tcW w:type="dxa" w:w="5141"/>
            <w:shd w:fill="F3F6F9"/>
          </w:tcPr>
          <w:p>
            <w:pPr>
              <w:spacing w:after="0"/>
            </w:pPr>
            <w:r>
              <w:rPr>
                <w:sz w:val="16"/>
              </w:rPr>
              <w:t>Apply the same IP to each endpoint only when the gateway design confirms that pattern.</w:t>
            </w:r>
          </w:p>
        </w:tc>
      </w:tr>
      <w:tr>
        <w:tc>
          <w:tcPr>
            <w:tcW w:type="dxa" w:w="5141"/>
          </w:tcPr>
          <w:p>
            <w:pPr>
              <w:spacing w:after="0"/>
            </w:pPr>
            <w:r>
              <w:rPr>
                <w:sz w:val="16"/>
              </w:rPr>
              <w:t>Device Array port</w:t>
            </w:r>
          </w:p>
        </w:tc>
        <w:tc>
          <w:tcPr>
            <w:tcW w:type="dxa" w:w="5141"/>
          </w:tcPr>
          <w:p>
            <w:pPr>
              <w:spacing w:after="0"/>
            </w:pPr>
            <w:r>
              <w:rPr>
                <w:sz w:val="16"/>
              </w:rPr>
              <w:t>If workbook explicitly provides it, use that value and compare it with the calculated next port. If not, use configured rule base_port + inverter_count only after approval.</w:t>
            </w:r>
          </w:p>
        </w:tc>
      </w:tr>
      <w:tr>
        <w:tc>
          <w:tcPr>
            <w:tcW w:type="dxa" w:w="5141"/>
            <w:shd w:fill="F3F6F9"/>
          </w:tcPr>
          <w:p>
            <w:pPr>
              <w:spacing w:after="0"/>
            </w:pPr>
            <w:r>
              <w:rPr>
                <w:sz w:val="16"/>
              </w:rPr>
              <w:t>Port collision</w:t>
            </w:r>
          </w:p>
        </w:tc>
        <w:tc>
          <w:tcPr>
            <w:tcW w:type="dxa" w:w="5141"/>
            <w:shd w:fill="F3F6F9"/>
          </w:tcPr>
          <w:p>
            <w:pPr>
              <w:spacing w:after="0"/>
            </w:pPr>
            <w:r>
              <w:rPr>
                <w:sz w:val="16"/>
              </w:rPr>
              <w:t>Validate duplicates and range; show generated list before publishing.</w:t>
            </w:r>
          </w:p>
        </w:tc>
      </w:tr>
      <w:tr>
        <w:tc>
          <w:tcPr>
            <w:tcW w:type="dxa" w:w="5141"/>
          </w:tcPr>
          <w:p>
            <w:pPr>
              <w:spacing w:after="0"/>
            </w:pPr>
            <w:r>
              <w:rPr>
                <w:sz w:val="16"/>
              </w:rPr>
              <w:t>Connectivity</w:t>
            </w:r>
          </w:p>
        </w:tc>
        <w:tc>
          <w:tcPr>
            <w:tcW w:type="dxa" w:w="5141"/>
          </w:tcPr>
          <w:p>
            <w:pPr>
              <w:spacing w:after="0"/>
            </w:pPr>
            <w:r>
              <w:rPr>
                <w:sz w:val="16"/>
              </w:rPr>
              <w:t>Test each port; a generated port is valid only if the gateway/device actually exposes/routes it.</w:t>
            </w:r>
          </w:p>
        </w:tc>
      </w:tr>
    </w:tbl>
    <w:p/>
    <w:p>
      <w:r>
        <w:t>Do not hard-code the Device Array port to 509 or 511. In the current example it is explicitly 509; in the future 10-inverter scenario the calculated port is 511. Explicit workbook input should take precedence, with a warning if it conflicts with the configured sequential rule.</w:t>
      </w:r>
    </w:p>
    <w:p>
      <w:pPr>
        <w:pStyle w:val="Heading1"/>
      </w:pPr>
      <w:r>
        <w:t>4. Device Array Groups and Relay/Annunciator Tags</w:t>
      </w:r>
    </w:p>
    <w:p>
      <w:r>
        <w:t>In this workbook, “Device Array” means the right-hand additional-equipment parameter section, not automatically a mathematical array. Group rows by Device Name. A Device Name entered on the first row applies to following rows until the next nonblank Device Name, unless the workbook owner specifies otherwise.</w:t>
      </w:r>
    </w:p>
    <w:tbl>
      <w:tblPr>
        <w:tblStyle w:val="TableGrid"/>
        <w:tblW w:type="auto" w:w="0"/>
        <w:tblLook w:firstColumn="1" w:firstRow="1" w:lastColumn="0" w:lastRow="0" w:noHBand="0" w:noVBand="1" w:val="04A0"/>
      </w:tblPr>
      <w:tblGrid>
        <w:gridCol w:w="3427"/>
        <w:gridCol w:w="3427"/>
        <w:gridCol w:w="3427"/>
      </w:tblGrid>
      <w:tr>
        <w:tc>
          <w:tcPr>
            <w:tcW w:type="dxa" w:w="3427"/>
            <w:shd w:fill="132238"/>
          </w:tcPr>
          <w:p>
            <w:r>
              <w:rPr>
                <w:b/>
                <w:color w:val="FFFFFF"/>
                <w:sz w:val="16"/>
              </w:rPr>
              <w:t>Device Name</w:t>
            </w:r>
          </w:p>
        </w:tc>
        <w:tc>
          <w:tcPr>
            <w:tcW w:type="dxa" w:w="3427"/>
            <w:shd w:fill="132238"/>
          </w:tcPr>
          <w:p>
            <w:r>
              <w:rPr>
                <w:b/>
                <w:color w:val="FFFFFF"/>
                <w:sz w:val="16"/>
              </w:rPr>
              <w:t>Examples from workbook</w:t>
            </w:r>
          </w:p>
        </w:tc>
        <w:tc>
          <w:tcPr>
            <w:tcW w:type="dxa" w:w="3427"/>
            <w:shd w:fill="132238"/>
          </w:tcPr>
          <w:p>
            <w:r>
              <w:rPr>
                <w:b/>
                <w:color w:val="FFFFFF"/>
                <w:sz w:val="16"/>
              </w:rPr>
              <w:t>SCADA treatment</w:t>
            </w:r>
          </w:p>
        </w:tc>
      </w:tr>
      <w:tr>
        <w:tc>
          <w:tcPr>
            <w:tcW w:type="dxa" w:w="3427"/>
          </w:tcPr>
          <w:p>
            <w:pPr>
              <w:spacing w:after="0"/>
            </w:pPr>
            <w:r>
              <w:rPr>
                <w:sz w:val="16"/>
              </w:rPr>
              <w:t>WMS</w:t>
            </w:r>
          </w:p>
        </w:tc>
        <w:tc>
          <w:tcPr>
            <w:tcW w:type="dxa" w:w="3427"/>
          </w:tcPr>
          <w:p>
            <w:pPr>
              <w:spacing w:after="0"/>
            </w:pPr>
            <w:r>
              <w:rPr>
                <w:sz w:val="16"/>
              </w:rPr>
              <w:t>GTI, cumulative/total GTI, GHI, shadow irradiation, rain, ambient/module temperature, humidity, wind speed/direction</w:t>
            </w:r>
          </w:p>
        </w:tc>
        <w:tc>
          <w:tcPr>
            <w:tcW w:type="dxa" w:w="3427"/>
          </w:tcPr>
          <w:p>
            <w:pPr>
              <w:spacing w:after="0"/>
            </w:pPr>
            <w:r>
              <w:rPr>
                <w:sz w:val="16"/>
              </w:rPr>
              <w:t>Weather/irradiance asset group</w:t>
            </w:r>
          </w:p>
        </w:tc>
      </w:tr>
      <w:tr>
        <w:tc>
          <w:tcPr>
            <w:tcW w:type="dxa" w:w="3427"/>
            <w:shd w:fill="F3F6F9"/>
          </w:tcPr>
          <w:p>
            <w:pPr>
              <w:spacing w:after="0"/>
            </w:pPr>
            <w:r>
              <w:rPr>
                <w:sz w:val="16"/>
              </w:rPr>
              <w:t>Trafo</w:t>
            </w:r>
          </w:p>
        </w:tc>
        <w:tc>
          <w:tcPr>
            <w:tcW w:type="dxa" w:w="3427"/>
            <w:shd w:fill="F3F6F9"/>
          </w:tcPr>
          <w:p>
            <w:pPr>
              <w:spacing w:after="0"/>
            </w:pPr>
            <w:r>
              <w:rPr>
                <w:sz w:val="16"/>
              </w:rPr>
              <w:t>WTI 01/02, OTI 01/02</w:t>
            </w:r>
          </w:p>
        </w:tc>
        <w:tc>
          <w:tcPr>
            <w:tcW w:type="dxa" w:w="3427"/>
            <w:shd w:fill="F3F6F9"/>
          </w:tcPr>
          <w:p>
            <w:pPr>
              <w:spacing w:after="0"/>
            </w:pPr>
            <w:r>
              <w:rPr>
                <w:sz w:val="16"/>
              </w:rPr>
              <w:t>Transformer temperature group</w:t>
            </w:r>
          </w:p>
        </w:tc>
      </w:tr>
      <w:tr>
        <w:tc>
          <w:tcPr>
            <w:tcW w:type="dxa" w:w="3427"/>
          </w:tcPr>
          <w:p>
            <w:pPr>
              <w:spacing w:after="0"/>
            </w:pPr>
            <w:r>
              <w:rPr>
                <w:sz w:val="16"/>
              </w:rPr>
              <w:t>TVM</w:t>
            </w:r>
          </w:p>
        </w:tc>
        <w:tc>
          <w:tcPr>
            <w:tcW w:type="dxa" w:w="3427"/>
          </w:tcPr>
          <w:p>
            <w:pPr>
              <w:spacing w:after="0"/>
            </w:pPr>
            <w:r>
              <w:rPr>
                <w:sz w:val="16"/>
              </w:rPr>
              <w:t>R/Y/B voltage/current, neutral current, active/reactive/apparent power, frequency, PF, export/import</w:t>
            </w:r>
          </w:p>
        </w:tc>
        <w:tc>
          <w:tcPr>
            <w:tcW w:type="dxa" w:w="3427"/>
          </w:tcPr>
          <w:p>
            <w:pPr>
              <w:spacing w:after="0"/>
            </w:pPr>
            <w:r>
              <w:rPr>
                <w:sz w:val="16"/>
              </w:rPr>
              <w:t>Metering group; confirm naming and meaning</w:t>
            </w:r>
          </w:p>
        </w:tc>
      </w:tr>
      <w:tr>
        <w:tc>
          <w:tcPr>
            <w:tcW w:type="dxa" w:w="3427"/>
            <w:shd w:fill="F3F6F9"/>
          </w:tcPr>
          <w:p>
            <w:pPr>
              <w:spacing w:after="0"/>
            </w:pPr>
            <w:r>
              <w:rPr>
                <w:sz w:val="16"/>
              </w:rPr>
              <w:t>Annunciator</w:t>
            </w:r>
          </w:p>
        </w:tc>
        <w:tc>
          <w:tcPr>
            <w:tcW w:type="dxa" w:w="3427"/>
            <w:shd w:fill="F3F6F9"/>
          </w:tcPr>
          <w:p>
            <w:pPr>
              <w:spacing w:after="0"/>
            </w:pPr>
            <w:r>
              <w:rPr>
                <w:sz w:val="16"/>
              </w:rPr>
              <w:t>Ann Status: W-1 through W-24</w:t>
            </w:r>
          </w:p>
        </w:tc>
        <w:tc>
          <w:tcPr>
            <w:tcW w:type="dxa" w:w="3427"/>
            <w:shd w:fill="F3F6F9"/>
          </w:tcPr>
          <w:p>
            <w:pPr>
              <w:spacing w:after="0"/>
            </w:pPr>
            <w:r>
              <w:rPr>
                <w:sz w:val="16"/>
              </w:rPr>
              <w:t>Status/relay/alarm points; bit semantics require engineering map</w:t>
            </w:r>
          </w:p>
        </w:tc>
      </w:tr>
      <w:tr>
        <w:tc>
          <w:tcPr>
            <w:tcW w:type="dxa" w:w="3427"/>
          </w:tcPr>
          <w:p>
            <w:pPr>
              <w:spacing w:after="0"/>
            </w:pPr>
            <w:r>
              <w:rPr>
                <w:sz w:val="16"/>
              </w:rPr>
              <w:t>Future group</w:t>
            </w:r>
          </w:p>
        </w:tc>
        <w:tc>
          <w:tcPr>
            <w:tcW w:type="dxa" w:w="3427"/>
          </w:tcPr>
          <w:p>
            <w:pPr>
              <w:spacing w:after="0"/>
            </w:pPr>
            <w:r>
              <w:rPr>
                <w:sz w:val="16"/>
              </w:rPr>
              <w:t>Any new Device Name value</w:t>
            </w:r>
          </w:p>
        </w:tc>
        <w:tc>
          <w:tcPr>
            <w:tcW w:type="dxa" w:w="3427"/>
          </w:tcPr>
          <w:p>
            <w:pPr>
              <w:spacing w:after="0"/>
            </w:pPr>
            <w:r>
              <w:rPr>
                <w:sz w:val="16"/>
              </w:rPr>
              <w:t>Create configurable group after validation; no code change should be required</w:t>
            </w:r>
          </w:p>
        </w:tc>
      </w:tr>
    </w:tbl>
    <w:p/>
    <w:p>
      <w:pPr>
        <w:pStyle w:val="ListBullet"/>
      </w:pPr>
      <w:r>
        <w:t>Do not clone inverter tags into the Device Array section.</w:t>
      </w:r>
    </w:p>
    <w:p>
      <w:pPr>
        <w:pStyle w:val="ListBullet"/>
      </w:pPr>
      <w:r>
        <w:t>Use the Device Array endpoint by default; allow per-group endpoint overrides only if the standard is extended to support them.</w:t>
      </w:r>
    </w:p>
    <w:p>
      <w:pPr>
        <w:pStyle w:val="ListBullet"/>
      </w:pPr>
      <w:r>
        <w:t>Preserve parameter names and addresses, while mapping them to stable Universal Tag Codes separately.</w:t>
      </w:r>
    </w:p>
    <w:p>
      <w:pPr>
        <w:pStyle w:val="ListBullet"/>
      </w:pPr>
      <w:r>
        <w:t>Allow shared equipment to map to one or more plants without duplicate physical acquisition.</w:t>
      </w:r>
    </w:p>
    <w:p>
      <w:pPr>
        <w:pStyle w:val="ListBullet"/>
      </w:pPr>
      <w:r>
        <w:t>Relay/annunciator entries must specify register type, bit offset/mask or raw-value enum, normal state, alarm state and severity before alarm behavior is enabled.</w:t>
      </w:r>
    </w:p>
    <w:p>
      <w:pPr>
        <w:pStyle w:val="Heading1"/>
      </w:pPr>
      <w:r>
        <w:t>5. Import, Validation and Preview Workflow</w:t>
      </w:r>
    </w:p>
    <w:tbl>
      <w:tblPr>
        <w:tblStyle w:val="TableGrid"/>
        <w:tblW w:type="auto" w:w="0"/>
        <w:tblLook w:firstColumn="1" w:firstRow="1" w:lastColumn="0" w:lastRow="0" w:noHBand="0" w:noVBand="1" w:val="04A0"/>
      </w:tblPr>
      <w:tblGrid>
        <w:gridCol w:w="10282"/>
      </w:tblGrid>
      <w:tr>
        <w:tc>
          <w:tcPr>
            <w:tcW w:type="dxa" w:w="10282"/>
            <w:shd w:fill="F1F5F9"/>
          </w:tcPr>
          <w:p>
            <w:pPr>
              <w:spacing w:after="0"/>
            </w:pPr>
            <w:r/>
            <w:r>
              <w:rPr>
                <w:rFonts w:ascii="Consolas" w:hAnsi="Consolas"/>
                <w:color w:val="132238"/>
                <w:sz w:val="16"/>
              </w:rPr>
              <w:t>Select workbook</w:t>
            </w:r>
          </w:p>
          <w:p>
            <w:pPr>
              <w:spacing w:after="0"/>
            </w:pPr>
            <w:r>
              <w:rPr>
                <w:rFonts w:ascii="Consolas" w:hAnsi="Consolas"/>
                <w:color w:val="132238"/>
                <w:sz w:val="16"/>
              </w:rPr>
              <w:t xml:space="preserve">  ↓ Validate workbook/sheet profile and required fields</w:t>
            </w:r>
          </w:p>
          <w:p>
            <w:pPr>
              <w:spacing w:after="0"/>
            </w:pPr>
            <w:r>
              <w:rPr>
                <w:rFonts w:ascii="Consolas" w:hAnsi="Consolas"/>
                <w:color w:val="132238"/>
                <w:sz w:val="16"/>
              </w:rPr>
              <w:t>Parse site metadata + inverter map + Device Array groups</w:t>
            </w:r>
          </w:p>
          <w:p>
            <w:pPr>
              <w:spacing w:after="0"/>
            </w:pPr>
            <w:r>
              <w:rPr>
                <w:rFonts w:ascii="Consolas" w:hAnsi="Consolas"/>
                <w:color w:val="132238"/>
                <w:sz w:val="16"/>
              </w:rPr>
              <w:t xml:space="preserve">  ↓ Normalize count, IP, ports, function/register type and addresses</w:t>
            </w:r>
          </w:p>
          <w:p>
            <w:pPr>
              <w:spacing w:after="0"/>
            </w:pPr>
            <w:r>
              <w:rPr>
                <w:rFonts w:ascii="Consolas" w:hAnsi="Consolas"/>
                <w:color w:val="132238"/>
                <w:sz w:val="16"/>
              </w:rPr>
              <w:t>Generate inverter instances + group Device Array parameters</w:t>
            </w:r>
          </w:p>
          <w:p>
            <w:pPr>
              <w:spacing w:after="0"/>
            </w:pPr>
            <w:r>
              <w:rPr>
                <w:rFonts w:ascii="Consolas" w:hAnsi="Consolas"/>
                <w:color w:val="132238"/>
                <w:sz w:val="16"/>
              </w:rPr>
              <w:t xml:space="preserve">  ↓ Validate address/count/ports/tags/data decoding</w:t>
            </w:r>
          </w:p>
          <w:p>
            <w:pPr>
              <w:spacing w:after="0"/>
            </w:pPr>
            <w:r>
              <w:rPr>
                <w:rFonts w:ascii="Consolas" w:hAnsi="Consolas"/>
                <w:color w:val="132238"/>
                <w:sz w:val="16"/>
              </w:rPr>
              <w:t>Preview generated devices, ports, tags and warnings</w:t>
            </w:r>
          </w:p>
          <w:p>
            <w:pPr>
              <w:spacing w:after="0"/>
            </w:pPr>
            <w:r>
              <w:rPr>
                <w:rFonts w:ascii="Consolas" w:hAnsi="Consolas"/>
                <w:color w:val="132238"/>
                <w:sz w:val="16"/>
              </w:rPr>
              <w:t xml:space="preserve">  ↓ Test connections and representative reads</w:t>
            </w:r>
          </w:p>
          <w:p>
            <w:pPr>
              <w:spacing w:after="0"/>
            </w:pPr>
            <w:r>
              <w:rPr>
                <w:rFonts w:ascii="Consolas" w:hAnsi="Consolas"/>
                <w:color w:val="132238"/>
                <w:sz w:val="16"/>
              </w:rPr>
              <w:t>Save DRAFT → approve/publish immutable configuration version</w:t>
            </w:r>
          </w:p>
          <w:p>
            <w:pPr>
              <w:spacing w:after="0"/>
            </w:pPr>
            <w:r>
              <w:rPr>
                <w:rFonts w:ascii="Consolas" w:hAnsi="Consolas"/>
                <w:color w:val="132238"/>
                <w:sz w:val="16"/>
              </w:rPr>
              <w:t xml:space="preserve">  ↓ Acquisition service loads ACTIVE version</w:t>
            </w:r>
          </w:p>
        </w:tc>
      </w:tr>
    </w:tbl>
    <w:p/>
    <w:tbl>
      <w:tblPr>
        <w:tblStyle w:val="TableGrid"/>
        <w:tblW w:type="auto" w:w="0"/>
        <w:tblLook w:firstColumn="1" w:firstRow="1" w:lastColumn="0" w:lastRow="0" w:noHBand="0" w:noVBand="1" w:val="04A0"/>
      </w:tblPr>
      <w:tblGrid>
        <w:gridCol w:w="3427"/>
        <w:gridCol w:w="3427"/>
        <w:gridCol w:w="3427"/>
      </w:tblGrid>
      <w:tr>
        <w:tc>
          <w:tcPr>
            <w:tcW w:type="dxa" w:w="3427"/>
            <w:shd w:fill="132238"/>
          </w:tcPr>
          <w:p>
            <w:r>
              <w:rPr>
                <w:b/>
                <w:color w:val="FFFFFF"/>
                <w:sz w:val="16"/>
              </w:rPr>
              <w:t>Validation</w:t>
            </w:r>
          </w:p>
        </w:tc>
        <w:tc>
          <w:tcPr>
            <w:tcW w:type="dxa" w:w="3427"/>
            <w:shd w:fill="132238"/>
          </w:tcPr>
          <w:p>
            <w:r>
              <w:rPr>
                <w:b/>
                <w:color w:val="FFFFFF"/>
                <w:sz w:val="16"/>
              </w:rPr>
              <w:t>Examples</w:t>
            </w:r>
          </w:p>
        </w:tc>
        <w:tc>
          <w:tcPr>
            <w:tcW w:type="dxa" w:w="3427"/>
            <w:shd w:fill="132238"/>
          </w:tcPr>
          <w:p>
            <w:r>
              <w:rPr>
                <w:b/>
                <w:color w:val="FFFFFF"/>
                <w:sz w:val="16"/>
              </w:rPr>
              <w:t>Action</w:t>
            </w:r>
          </w:p>
        </w:tc>
      </w:tr>
      <w:tr>
        <w:tc>
          <w:tcPr>
            <w:tcW w:type="dxa" w:w="3427"/>
          </w:tcPr>
          <w:p>
            <w:pPr>
              <w:spacing w:after="0"/>
            </w:pPr>
            <w:r>
              <w:rPr>
                <w:sz w:val="16"/>
              </w:rPr>
              <w:t>Workbook profile</w:t>
            </w:r>
          </w:p>
        </w:tc>
        <w:tc>
          <w:tcPr>
            <w:tcW w:type="dxa" w:w="3427"/>
          </w:tcPr>
          <w:p>
            <w:pPr>
              <w:spacing w:after="0"/>
            </w:pPr>
            <w:r>
              <w:rPr>
                <w:sz w:val="16"/>
              </w:rPr>
              <w:t>Missing sheet or required fields</w:t>
            </w:r>
          </w:p>
        </w:tc>
        <w:tc>
          <w:tcPr>
            <w:tcW w:type="dxa" w:w="3427"/>
          </w:tcPr>
          <w:p>
            <w:pPr>
              <w:spacing w:after="0"/>
            </w:pPr>
            <w:r>
              <w:rPr>
                <w:sz w:val="16"/>
              </w:rPr>
              <w:t>Reject import; show exact issue</w:t>
            </w:r>
          </w:p>
        </w:tc>
      </w:tr>
      <w:tr>
        <w:tc>
          <w:tcPr>
            <w:tcW w:type="dxa" w:w="3427"/>
            <w:shd w:fill="F3F6F9"/>
          </w:tcPr>
          <w:p>
            <w:pPr>
              <w:spacing w:after="0"/>
            </w:pPr>
            <w:r>
              <w:rPr>
                <w:sz w:val="16"/>
              </w:rPr>
              <w:t>Inverter count</w:t>
            </w:r>
          </w:p>
        </w:tc>
        <w:tc>
          <w:tcPr>
            <w:tcW w:type="dxa" w:w="3427"/>
            <w:shd w:fill="F3F6F9"/>
          </w:tcPr>
          <w:p>
            <w:pPr>
              <w:spacing w:after="0"/>
            </w:pPr>
            <w:r>
              <w:rPr>
                <w:sz w:val="16"/>
              </w:rPr>
              <w:t>Cannot parse or zero/negative</w:t>
            </w:r>
          </w:p>
        </w:tc>
        <w:tc>
          <w:tcPr>
            <w:tcW w:type="dxa" w:w="3427"/>
            <w:shd w:fill="F3F6F9"/>
          </w:tcPr>
          <w:p>
            <w:pPr>
              <w:spacing w:after="0"/>
            </w:pPr>
            <w:r>
              <w:rPr>
                <w:sz w:val="16"/>
              </w:rPr>
              <w:t>Block publish</w:t>
            </w:r>
          </w:p>
        </w:tc>
      </w:tr>
      <w:tr>
        <w:tc>
          <w:tcPr>
            <w:tcW w:type="dxa" w:w="3427"/>
          </w:tcPr>
          <w:p>
            <w:pPr>
              <w:spacing w:after="0"/>
            </w:pPr>
            <w:r>
              <w:rPr>
                <w:sz w:val="16"/>
              </w:rPr>
              <w:t>Port generation</w:t>
            </w:r>
          </w:p>
        </w:tc>
        <w:tc>
          <w:tcPr>
            <w:tcW w:type="dxa" w:w="3427"/>
          </w:tcPr>
          <w:p>
            <w:pPr>
              <w:spacing w:after="0"/>
            </w:pPr>
            <w:r>
              <w:rPr>
                <w:sz w:val="16"/>
              </w:rPr>
              <w:t>Port outside 1–65535 or collision</w:t>
            </w:r>
          </w:p>
        </w:tc>
        <w:tc>
          <w:tcPr>
            <w:tcW w:type="dxa" w:w="3427"/>
          </w:tcPr>
          <w:p>
            <w:pPr>
              <w:spacing w:after="0"/>
            </w:pPr>
            <w:r>
              <w:rPr>
                <w:sz w:val="16"/>
              </w:rPr>
              <w:t>Block publish</w:t>
            </w:r>
          </w:p>
        </w:tc>
      </w:tr>
      <w:tr>
        <w:tc>
          <w:tcPr>
            <w:tcW w:type="dxa" w:w="3427"/>
            <w:shd w:fill="F3F6F9"/>
          </w:tcPr>
          <w:p>
            <w:pPr>
              <w:spacing w:after="0"/>
            </w:pPr>
            <w:r>
              <w:rPr>
                <w:sz w:val="16"/>
              </w:rPr>
              <w:t>Endpoint test</w:t>
            </w:r>
          </w:p>
        </w:tc>
        <w:tc>
          <w:tcPr>
            <w:tcW w:type="dxa" w:w="3427"/>
            <w:shd w:fill="F3F6F9"/>
          </w:tcPr>
          <w:p>
            <w:pPr>
              <w:spacing w:after="0"/>
            </w:pPr>
            <w:r>
              <w:rPr>
                <w:sz w:val="16"/>
              </w:rPr>
              <w:t>One port unreachable</w:t>
            </w:r>
          </w:p>
        </w:tc>
        <w:tc>
          <w:tcPr>
            <w:tcW w:type="dxa" w:w="3427"/>
            <w:shd w:fill="F3F6F9"/>
          </w:tcPr>
          <w:p>
            <w:pPr>
              <w:spacing w:after="0"/>
            </w:pPr>
            <w:r>
              <w:rPr>
                <w:sz w:val="16"/>
              </w:rPr>
              <w:t>Show result per device; apply agreed partial-commissioning policy</w:t>
            </w:r>
          </w:p>
        </w:tc>
      </w:tr>
      <w:tr>
        <w:tc>
          <w:tcPr>
            <w:tcW w:type="dxa" w:w="3427"/>
          </w:tcPr>
          <w:p>
            <w:pPr>
              <w:spacing w:after="0"/>
            </w:pPr>
            <w:r>
              <w:rPr>
                <w:sz w:val="16"/>
              </w:rPr>
              <w:t>Address map</w:t>
            </w:r>
          </w:p>
        </w:tc>
        <w:tc>
          <w:tcPr>
            <w:tcW w:type="dxa" w:w="3427"/>
          </w:tcPr>
          <w:p>
            <w:pPr>
              <w:spacing w:after="0"/>
            </w:pPr>
            <w:r>
              <w:rPr>
                <w:sz w:val="16"/>
              </w:rPr>
              <w:t>Duplicate or invalid address</w:t>
            </w:r>
          </w:p>
        </w:tc>
        <w:tc>
          <w:tcPr>
            <w:tcW w:type="dxa" w:w="3427"/>
          </w:tcPr>
          <w:p>
            <w:pPr>
              <w:spacing w:after="0"/>
            </w:pPr>
            <w:r>
              <w:rPr>
                <w:sz w:val="16"/>
              </w:rPr>
              <w:t>Warn/block based on explicit overlap rules</w:t>
            </w:r>
          </w:p>
        </w:tc>
      </w:tr>
      <w:tr>
        <w:tc>
          <w:tcPr>
            <w:tcW w:type="dxa" w:w="3427"/>
            <w:shd w:fill="F3F6F9"/>
          </w:tcPr>
          <w:p>
            <w:pPr>
              <w:spacing w:after="0"/>
            </w:pPr>
            <w:r>
              <w:rPr>
                <w:sz w:val="16"/>
              </w:rPr>
              <w:t>Function code</w:t>
            </w:r>
          </w:p>
        </w:tc>
        <w:tc>
          <w:tcPr>
            <w:tcW w:type="dxa" w:w="3427"/>
            <w:shd w:fill="F3F6F9"/>
          </w:tcPr>
          <w:p>
            <w:pPr>
              <w:spacing w:after="0"/>
            </w:pPr>
            <w:r>
              <w:rPr>
                <w:sz w:val="16"/>
              </w:rPr>
              <w:t>Unknown/contradictory register type</w:t>
            </w:r>
          </w:p>
        </w:tc>
        <w:tc>
          <w:tcPr>
            <w:tcW w:type="dxa" w:w="3427"/>
            <w:shd w:fill="F3F6F9"/>
          </w:tcPr>
          <w:p>
            <w:pPr>
              <w:spacing w:after="0"/>
            </w:pPr>
            <w:r>
              <w:rPr>
                <w:sz w:val="16"/>
              </w:rPr>
              <w:t>Require engineering confirmation</w:t>
            </w:r>
          </w:p>
        </w:tc>
      </w:tr>
      <w:tr>
        <w:tc>
          <w:tcPr>
            <w:tcW w:type="dxa" w:w="3427"/>
          </w:tcPr>
          <w:p>
            <w:pPr>
              <w:spacing w:after="0"/>
            </w:pPr>
            <w:r>
              <w:rPr>
                <w:sz w:val="16"/>
              </w:rPr>
              <w:t>Data Count</w:t>
            </w:r>
          </w:p>
        </w:tc>
        <w:tc>
          <w:tcPr>
            <w:tcW w:type="dxa" w:w="3427"/>
          </w:tcPr>
          <w:p>
            <w:pPr>
              <w:spacing w:after="0"/>
            </w:pPr>
            <w:r>
              <w:rPr>
                <w:sz w:val="16"/>
              </w:rPr>
              <w:t>Meaning unclear or exceeds request limit</w:t>
            </w:r>
          </w:p>
        </w:tc>
        <w:tc>
          <w:tcPr>
            <w:tcW w:type="dxa" w:w="3427"/>
          </w:tcPr>
          <w:p>
            <w:pPr>
              <w:spacing w:after="0"/>
            </w:pPr>
            <w:r>
              <w:rPr>
                <w:sz w:val="16"/>
              </w:rPr>
              <w:t>Do not assume it is Modbus quantity; block activation until defined</w:t>
            </w:r>
          </w:p>
        </w:tc>
      </w:tr>
      <w:tr>
        <w:tc>
          <w:tcPr>
            <w:tcW w:type="dxa" w:w="3427"/>
            <w:shd w:fill="F3F6F9"/>
          </w:tcPr>
          <w:p>
            <w:pPr>
              <w:spacing w:after="0"/>
            </w:pPr>
            <w:r>
              <w:rPr>
                <w:sz w:val="16"/>
              </w:rPr>
              <w:t>Device grouping</w:t>
            </w:r>
          </w:p>
        </w:tc>
        <w:tc>
          <w:tcPr>
            <w:tcW w:type="dxa" w:w="3427"/>
            <w:shd w:fill="F3F6F9"/>
          </w:tcPr>
          <w:p>
            <w:pPr>
              <w:spacing w:after="0"/>
            </w:pPr>
            <w:r>
              <w:rPr>
                <w:sz w:val="16"/>
              </w:rPr>
              <w:t>Address row has no resolved Device Name</w:t>
            </w:r>
          </w:p>
        </w:tc>
        <w:tc>
          <w:tcPr>
            <w:tcW w:type="dxa" w:w="3427"/>
            <w:shd w:fill="F3F6F9"/>
          </w:tcPr>
          <w:p>
            <w:pPr>
              <w:spacing w:after="0"/>
            </w:pPr>
            <w:r>
              <w:rPr>
                <w:sz w:val="16"/>
              </w:rPr>
              <w:t>Warn and require mapping review</w:t>
            </w:r>
          </w:p>
        </w:tc>
      </w:tr>
      <w:tr>
        <w:tc>
          <w:tcPr>
            <w:tcW w:type="dxa" w:w="3427"/>
          </w:tcPr>
          <w:p>
            <w:pPr>
              <w:spacing w:after="0"/>
            </w:pPr>
            <w:r>
              <w:rPr>
                <w:sz w:val="16"/>
              </w:rPr>
              <w:t>Decoder metadata</w:t>
            </w:r>
          </w:p>
        </w:tc>
        <w:tc>
          <w:tcPr>
            <w:tcW w:type="dxa" w:w="3427"/>
          </w:tcPr>
          <w:p>
            <w:pPr>
              <w:spacing w:after="0"/>
            </w:pPr>
            <w:r>
              <w:rPr>
                <w:sz w:val="16"/>
              </w:rPr>
              <w:t>No data type/scale/unit/byte order</w:t>
            </w:r>
          </w:p>
        </w:tc>
        <w:tc>
          <w:tcPr>
            <w:tcW w:type="dxa" w:w="3427"/>
          </w:tcPr>
          <w:p>
            <w:pPr>
              <w:spacing w:after="0"/>
            </w:pPr>
            <w:r>
              <w:rPr>
                <w:sz w:val="16"/>
              </w:rPr>
              <w:t>Use approved model profile or require engineering input</w:t>
            </w:r>
          </w:p>
        </w:tc>
      </w:tr>
      <w:tr>
        <w:tc>
          <w:tcPr>
            <w:tcW w:type="dxa" w:w="3427"/>
            <w:shd w:fill="F3F6F9"/>
          </w:tcPr>
          <w:p>
            <w:pPr>
              <w:spacing w:after="0"/>
            </w:pPr>
            <w:r>
              <w:rPr>
                <w:sz w:val="16"/>
              </w:rPr>
              <w:t>Config diff</w:t>
            </w:r>
          </w:p>
        </w:tc>
        <w:tc>
          <w:tcPr>
            <w:tcW w:type="dxa" w:w="3427"/>
            <w:shd w:fill="F3F6F9"/>
          </w:tcPr>
          <w:p>
            <w:pPr>
              <w:spacing w:after="0"/>
            </w:pPr>
            <w:r>
              <w:rPr>
                <w:sz w:val="16"/>
              </w:rPr>
              <w:t>Existing tags/addresses changed</w:t>
            </w:r>
          </w:p>
        </w:tc>
        <w:tc>
          <w:tcPr>
            <w:tcW w:type="dxa" w:w="3427"/>
            <w:shd w:fill="F3F6F9"/>
          </w:tcPr>
          <w:p>
            <w:pPr>
              <w:spacing w:after="0"/>
            </w:pPr>
            <w:r>
              <w:rPr>
                <w:sz w:val="16"/>
              </w:rPr>
              <w:t>Preview affected devices before publish</w:t>
            </w:r>
          </w:p>
        </w:tc>
      </w:tr>
    </w:tbl>
    <w:p/>
    <w:p>
      <w:pPr>
        <w:pStyle w:val="Heading2"/>
      </w:pPr>
      <w:r>
        <w:t>5.1 Configuration states</w:t>
      </w:r>
    </w:p>
    <w:tbl>
      <w:tblPr>
        <w:tblStyle w:val="TableGrid"/>
        <w:tblW w:type="auto" w:w="0"/>
        <w:tblLook w:firstColumn="1" w:firstRow="1" w:lastColumn="0" w:lastRow="0" w:noHBand="0" w:noVBand="1" w:val="04A0"/>
      </w:tblPr>
      <w:tblGrid>
        <w:gridCol w:w="10282"/>
      </w:tblGrid>
      <w:tr>
        <w:tc>
          <w:tcPr>
            <w:tcW w:type="dxa" w:w="10282"/>
            <w:shd w:fill="F1F5F9"/>
          </w:tcPr>
          <w:p>
            <w:pPr>
              <w:spacing w:after="0"/>
            </w:pPr>
            <w:r/>
            <w:r>
              <w:rPr>
                <w:rFonts w:ascii="Consolas" w:hAnsi="Consolas"/>
                <w:color w:val="132238"/>
                <w:sz w:val="16"/>
              </w:rPr>
              <w:t>DRAFT → VALIDATING → VALIDATED → PUBLISHED → ACTIVE</w:t>
            </w:r>
          </w:p>
          <w:p>
            <w:pPr>
              <w:spacing w:after="0"/>
            </w:pPr>
            <w:r>
              <w:rPr>
                <w:rFonts w:ascii="Consolas" w:hAnsi="Consolas"/>
                <w:color w:val="132238"/>
                <w:sz w:val="16"/>
              </w:rPr>
              <w:t xml:space="preserve">                         ↘ FAILED</w:t>
            </w:r>
          </w:p>
          <w:p>
            <w:pPr>
              <w:spacing w:after="0"/>
            </w:pPr>
            <w:r>
              <w:rPr>
                <w:rFonts w:ascii="Consolas" w:hAnsi="Consolas"/>
                <w:color w:val="132238"/>
                <w:sz w:val="16"/>
              </w:rPr>
              <w:t>A failed draft never replaces the active version. Rollback is auditable.</w:t>
            </w:r>
          </w:p>
        </w:tc>
      </w:tr>
    </w:tbl>
    <w:p/>
    <w:p>
      <w:pPr>
        <w:pStyle w:val="Heading2"/>
      </w:pPr>
      <w:r>
        <w:t>5.2 Data Count caution</w:t>
      </w:r>
    </w:p>
    <w:p>
      <w:r>
        <w:t>The workbook shows Data Count 124, while the address list contains entries extending beyond the first 124 parameter rows depending on how the column is interpreted. The engineering team must define whether Data Count means Modbus registers per request, tags/parameters in the map, or a vendor-specific setting. The software must not blindly use 124 as a read length.</w:t>
      </w:r>
    </w:p>
    <w:p>
      <w:pPr>
        <w:pStyle w:val="Heading1"/>
      </w:pPr>
      <w:r>
        <w:t>6. Tag, Address and Decoder Rules</w:t>
      </w:r>
    </w:p>
    <w:p>
      <w:r>
        <w:t>The workbook visibly supplies parameter labels and addresses, but not all decoding details. Data type, signedness, register type, byte/word order, scale, offset, unit, bit location and polling interval must come from an approved manufacturer/model profile or explicit engineering input.</w:t>
      </w:r>
    </w:p>
    <w:tbl>
      <w:tblPr>
        <w:tblStyle w:val="TableGrid"/>
        <w:tblW w:type="auto" w:w="0"/>
        <w:tblLook w:firstColumn="1" w:firstRow="1" w:lastColumn="0" w:lastRow="0" w:noHBand="0" w:noVBand="1" w:val="04A0"/>
      </w:tblPr>
      <w:tblGrid>
        <w:gridCol w:w="3427"/>
        <w:gridCol w:w="3427"/>
        <w:gridCol w:w="3427"/>
      </w:tblGrid>
      <w:tr>
        <w:tc>
          <w:tcPr>
            <w:tcW w:type="dxa" w:w="3427"/>
            <w:shd w:fill="132238"/>
          </w:tcPr>
          <w:p>
            <w:r>
              <w:rPr>
                <w:b/>
                <w:color w:val="FFFFFF"/>
                <w:sz w:val="16"/>
              </w:rPr>
              <w:t>Layer</w:t>
            </w:r>
          </w:p>
        </w:tc>
        <w:tc>
          <w:tcPr>
            <w:tcW w:type="dxa" w:w="3427"/>
            <w:shd w:fill="132238"/>
          </w:tcPr>
          <w:p>
            <w:r>
              <w:rPr>
                <w:b/>
                <w:color w:val="FFFFFF"/>
                <w:sz w:val="16"/>
              </w:rPr>
              <w:t>Purpose</w:t>
            </w:r>
          </w:p>
        </w:tc>
        <w:tc>
          <w:tcPr>
            <w:tcW w:type="dxa" w:w="3427"/>
            <w:shd w:fill="132238"/>
          </w:tcPr>
          <w:p>
            <w:r>
              <w:rPr>
                <w:b/>
                <w:color w:val="FFFFFF"/>
                <w:sz w:val="16"/>
              </w:rPr>
              <w:t>Example</w:t>
            </w:r>
          </w:p>
        </w:tc>
      </w:tr>
      <w:tr>
        <w:tc>
          <w:tcPr>
            <w:tcW w:type="dxa" w:w="3427"/>
          </w:tcPr>
          <w:p>
            <w:pPr>
              <w:spacing w:after="0"/>
            </w:pPr>
            <w:r>
              <w:rPr>
                <w:sz w:val="16"/>
              </w:rPr>
              <w:t>Display parameter</w:t>
            </w:r>
          </w:p>
        </w:tc>
        <w:tc>
          <w:tcPr>
            <w:tcW w:type="dxa" w:w="3427"/>
          </w:tcPr>
          <w:p>
            <w:pPr>
              <w:spacing w:after="0"/>
            </w:pPr>
            <w:r>
              <w:rPr>
                <w:sz w:val="16"/>
              </w:rPr>
              <w:t>Original label in workbook</w:t>
            </w:r>
          </w:p>
        </w:tc>
        <w:tc>
          <w:tcPr>
            <w:tcW w:type="dxa" w:w="3427"/>
          </w:tcPr>
          <w:p>
            <w:pPr>
              <w:spacing w:after="0"/>
            </w:pPr>
            <w:r>
              <w:rPr>
                <w:sz w:val="16"/>
              </w:rPr>
              <w:t>Active Power</w:t>
            </w:r>
          </w:p>
        </w:tc>
      </w:tr>
      <w:tr>
        <w:tc>
          <w:tcPr>
            <w:tcW w:type="dxa" w:w="3427"/>
            <w:shd w:fill="F3F6F9"/>
          </w:tcPr>
          <w:p>
            <w:pPr>
              <w:spacing w:after="0"/>
            </w:pPr>
            <w:r>
              <w:rPr>
                <w:sz w:val="16"/>
              </w:rPr>
              <w:t>Universal Tag Code</w:t>
            </w:r>
          </w:p>
        </w:tc>
        <w:tc>
          <w:tcPr>
            <w:tcW w:type="dxa" w:w="3427"/>
            <w:shd w:fill="F3F6F9"/>
          </w:tcPr>
          <w:p>
            <w:pPr>
              <w:spacing w:after="0"/>
            </w:pPr>
            <w:r>
              <w:rPr>
                <w:sz w:val="16"/>
              </w:rPr>
              <w:t>Stable company standard semantic identifier</w:t>
            </w:r>
          </w:p>
        </w:tc>
        <w:tc>
          <w:tcPr>
            <w:tcW w:type="dxa" w:w="3427"/>
            <w:shd w:fill="F3F6F9"/>
          </w:tcPr>
          <w:p>
            <w:pPr>
              <w:spacing w:after="0"/>
            </w:pPr>
            <w:r>
              <w:rPr>
                <w:sz w:val="16"/>
              </w:rPr>
              <w:t>AC_POWER</w:t>
            </w:r>
          </w:p>
        </w:tc>
      </w:tr>
      <w:tr>
        <w:tc>
          <w:tcPr>
            <w:tcW w:type="dxa" w:w="3427"/>
          </w:tcPr>
          <w:p>
            <w:pPr>
              <w:spacing w:after="0"/>
            </w:pPr>
            <w:r>
              <w:rPr>
                <w:sz w:val="16"/>
              </w:rPr>
              <w:t>Template mapping</w:t>
            </w:r>
          </w:p>
        </w:tc>
        <w:tc>
          <w:tcPr>
            <w:tcW w:type="dxa" w:w="3427"/>
          </w:tcPr>
          <w:p>
            <w:pPr>
              <w:spacing w:after="0"/>
            </w:pPr>
            <w:r>
              <w:rPr>
                <w:sz w:val="16"/>
              </w:rPr>
              <w:t>Device-specific function/address/decoder</w:t>
            </w:r>
          </w:p>
        </w:tc>
        <w:tc>
          <w:tcPr>
            <w:tcW w:type="dxa" w:w="3427"/>
          </w:tcPr>
          <w:p>
            <w:pPr>
              <w:spacing w:after="0"/>
            </w:pPr>
            <w:r>
              <w:rPr>
                <w:sz w:val="16"/>
              </w:rPr>
              <w:t>FC3 + address 4001 + approved type/scale</w:t>
            </w:r>
          </w:p>
        </w:tc>
      </w:tr>
      <w:tr>
        <w:tc>
          <w:tcPr>
            <w:tcW w:type="dxa" w:w="3427"/>
            <w:shd w:fill="F3F6F9"/>
          </w:tcPr>
          <w:p>
            <w:pPr>
              <w:spacing w:after="0"/>
            </w:pPr>
            <w:r>
              <w:rPr>
                <w:sz w:val="16"/>
              </w:rPr>
              <w:t>Asset tag instance</w:t>
            </w:r>
          </w:p>
        </w:tc>
        <w:tc>
          <w:tcPr>
            <w:tcW w:type="dxa" w:w="3427"/>
            <w:shd w:fill="F3F6F9"/>
          </w:tcPr>
          <w:p>
            <w:pPr>
              <w:spacing w:after="0"/>
            </w:pPr>
            <w:r>
              <w:rPr>
                <w:sz w:val="16"/>
              </w:rPr>
              <w:t>Concrete device-specific tag</w:t>
            </w:r>
          </w:p>
        </w:tc>
        <w:tc>
          <w:tcPr>
            <w:tcW w:type="dxa" w:w="3427"/>
            <w:shd w:fill="F3F6F9"/>
          </w:tcPr>
          <w:p>
            <w:pPr>
              <w:spacing w:after="0"/>
            </w:pPr>
            <w:r>
              <w:rPr>
                <w:sz w:val="16"/>
              </w:rPr>
              <w:t>INV-01 / AC_POWER</w:t>
            </w:r>
          </w:p>
        </w:tc>
      </w:tr>
      <w:tr>
        <w:tc>
          <w:tcPr>
            <w:tcW w:type="dxa" w:w="3427"/>
          </w:tcPr>
          <w:p>
            <w:pPr>
              <w:spacing w:after="0"/>
            </w:pPr>
            <w:r>
              <w:rPr>
                <w:sz w:val="16"/>
              </w:rPr>
              <w:t>Live/history value</w:t>
            </w:r>
          </w:p>
        </w:tc>
        <w:tc>
          <w:tcPr>
            <w:tcW w:type="dxa" w:w="3427"/>
          </w:tcPr>
          <w:p>
            <w:pPr>
              <w:spacing w:after="0"/>
            </w:pPr>
            <w:r>
              <w:rPr>
                <w:sz w:val="16"/>
              </w:rPr>
              <w:t>Typed value, quality and timestamp</w:t>
            </w:r>
          </w:p>
        </w:tc>
        <w:tc>
          <w:tcPr>
            <w:tcW w:type="dxa" w:w="3427"/>
          </w:tcPr>
          <w:p>
            <w:pPr>
              <w:spacing w:after="0"/>
            </w:pPr>
            <w:r>
              <w:rPr>
                <w:sz w:val="16"/>
              </w:rPr>
              <w:t>125.6 kW, GOOD, timestamp</w:t>
            </w:r>
          </w:p>
        </w:tc>
      </w:tr>
    </w:tbl>
    <w:p/>
    <w:p>
      <w:pPr>
        <w:pStyle w:val="ListBullet"/>
      </w:pPr>
      <w:r>
        <w:t>Preserve the original workbook address value; separately store its addressing convention.</w:t>
      </w:r>
    </w:p>
    <w:p>
      <w:pPr>
        <w:pStyle w:val="ListBullet"/>
      </w:pPr>
      <w:r>
        <w:t>Confirm whether 4001 means a protocol offset, a 4xxxx reference, or a vendor-specific address. Never silently subtract one or rewrite it.</w:t>
      </w:r>
    </w:p>
    <w:p>
      <w:pPr>
        <w:pStyle w:val="ListBullet"/>
      </w:pPr>
      <w:r>
        <w:t>Normalize FC3/Holding only after engineering confirms how the workbook uses these labels.</w:t>
      </w:r>
    </w:p>
    <w:p>
      <w:pPr>
        <w:pStyle w:val="ListBullet"/>
      </w:pPr>
      <w:r>
        <w:t>Use contiguous block reads only when the device supports the range and the mapping defines child offsets correctly.</w:t>
      </w:r>
    </w:p>
    <w:p>
      <w:pPr>
        <w:pStyle w:val="ListBullet"/>
      </w:pPr>
      <w:r>
        <w:t>Validate data type/register count, request limits, overlapping addresses and invalid/sentinel values.</w:t>
      </w:r>
    </w:p>
    <w:p>
      <w:pPr>
        <w:pStyle w:val="ListBullet"/>
      </w:pPr>
      <w:r>
        <w:t>Create stable Tag Codes through a reviewed dictionary; preserve original display names for traceability.</w:t>
      </w:r>
    </w:p>
    <w:p>
      <w:pPr>
        <w:pStyle w:val="ListBullet"/>
      </w:pPr>
      <w:r>
        <w:t>Do not infer relay alarm polarity or state meanings from labels alone.</w:t>
      </w:r>
    </w:p>
    <w:tbl>
      <w:tblPr>
        <w:tblStyle w:val="TableGrid"/>
        <w:tblW w:type="auto" w:w="0"/>
        <w:tblLook w:firstColumn="1" w:firstRow="1" w:lastColumn="0" w:lastRow="0" w:noHBand="0" w:noVBand="1" w:val="04A0"/>
      </w:tblPr>
      <w:tblGrid>
        <w:gridCol w:w="10282"/>
      </w:tblGrid>
      <w:tr>
        <w:tc>
          <w:tcPr>
            <w:tcW w:type="dxa" w:w="10282"/>
            <w:shd w:fill="F1F5F9"/>
          </w:tcPr>
          <w:p>
            <w:pPr>
              <w:spacing w:after="0"/>
            </w:pPr>
            <w:r/>
            <w:r>
              <w:rPr>
                <w:rFonts w:ascii="Consolas" w:hAnsi="Consolas"/>
                <w:color w:val="132238"/>
                <w:sz w:val="16"/>
              </w:rPr>
              <w:t>engineering_value = raw_value × scale_factor + offset</w:t>
            </w:r>
          </w:p>
        </w:tc>
      </w:tr>
    </w:tbl>
    <w:p/>
    <w:p>
      <w:pPr>
        <w:pStyle w:val="Heading1"/>
      </w:pPr>
      <w:r>
        <w:t>7. Installer and First-Run Wizard</w:t>
      </w:r>
    </w:p>
    <w:tbl>
      <w:tblPr>
        <w:tblStyle w:val="TableGrid"/>
        <w:tblW w:type="auto" w:w="0"/>
        <w:tblLook w:firstColumn="1" w:firstRow="1" w:lastColumn="0" w:lastRow="0" w:noHBand="0" w:noVBand="1" w:val="04A0"/>
      </w:tblPr>
      <w:tblGrid>
        <w:gridCol w:w="3427"/>
        <w:gridCol w:w="3427"/>
        <w:gridCol w:w="3427"/>
      </w:tblGrid>
      <w:tr>
        <w:tc>
          <w:tcPr>
            <w:tcW w:type="dxa" w:w="3427"/>
            <w:shd w:fill="132238"/>
          </w:tcPr>
          <w:p>
            <w:r>
              <w:rPr>
                <w:b/>
                <w:color w:val="FFFFFF"/>
                <w:sz w:val="16"/>
              </w:rPr>
              <w:t>Step</w:t>
            </w:r>
          </w:p>
        </w:tc>
        <w:tc>
          <w:tcPr>
            <w:tcW w:type="dxa" w:w="3427"/>
            <w:shd w:fill="132238"/>
          </w:tcPr>
          <w:p>
            <w:r>
              <w:rPr>
                <w:b/>
                <w:color w:val="FFFFFF"/>
                <w:sz w:val="16"/>
              </w:rPr>
              <w:t>Screen/action</w:t>
            </w:r>
          </w:p>
        </w:tc>
        <w:tc>
          <w:tcPr>
            <w:tcW w:type="dxa" w:w="3427"/>
            <w:shd w:fill="132238"/>
          </w:tcPr>
          <w:p>
            <w:r>
              <w:rPr>
                <w:b/>
                <w:color w:val="FFFFFF"/>
                <w:sz w:val="16"/>
              </w:rPr>
              <w:t>Output</w:t>
            </w:r>
          </w:p>
        </w:tc>
      </w:tr>
      <w:tr>
        <w:tc>
          <w:tcPr>
            <w:tcW w:type="dxa" w:w="3427"/>
          </w:tcPr>
          <w:p>
            <w:pPr>
              <w:spacing w:after="0"/>
            </w:pPr>
            <w:r>
              <w:rPr>
                <w:sz w:val="16"/>
              </w:rPr>
              <w:t>1</w:t>
            </w:r>
          </w:p>
        </w:tc>
        <w:tc>
          <w:tcPr>
            <w:tcW w:type="dxa" w:w="3427"/>
          </w:tcPr>
          <w:p>
            <w:pPr>
              <w:spacing w:after="0"/>
            </w:pPr>
            <w:r>
              <w:rPr>
                <w:sz w:val="16"/>
              </w:rPr>
              <w:t>Install prerequisites and application services</w:t>
            </w:r>
          </w:p>
        </w:tc>
        <w:tc>
          <w:tcPr>
            <w:tcW w:type="dxa" w:w="3427"/>
          </w:tcPr>
          <w:p>
            <w:pPr>
              <w:spacing w:after="0"/>
            </w:pPr>
            <w:r>
              <w:rPr>
                <w:sz w:val="16"/>
              </w:rPr>
              <w:t>One customer-facing installer completed</w:t>
            </w:r>
          </w:p>
        </w:tc>
      </w:tr>
      <w:tr>
        <w:tc>
          <w:tcPr>
            <w:tcW w:type="dxa" w:w="3427"/>
            <w:shd w:fill="F3F6F9"/>
          </w:tcPr>
          <w:p>
            <w:pPr>
              <w:spacing w:after="0"/>
            </w:pPr>
            <w:r>
              <w:rPr>
                <w:sz w:val="16"/>
              </w:rPr>
              <w:t>2</w:t>
            </w:r>
          </w:p>
        </w:tc>
        <w:tc>
          <w:tcPr>
            <w:tcW w:type="dxa" w:w="3427"/>
            <w:shd w:fill="F3F6F9"/>
          </w:tcPr>
          <w:p>
            <w:pPr>
              <w:spacing w:after="0"/>
            </w:pPr>
            <w:r>
              <w:rPr>
                <w:sz w:val="16"/>
              </w:rPr>
              <w:t>Create administrator</w:t>
            </w:r>
          </w:p>
        </w:tc>
        <w:tc>
          <w:tcPr>
            <w:tcW w:type="dxa" w:w="3427"/>
            <w:shd w:fill="F3F6F9"/>
          </w:tcPr>
          <w:p>
            <w:pPr>
              <w:spacing w:after="0"/>
            </w:pPr>
            <w:r>
              <w:rPr>
                <w:sz w:val="16"/>
              </w:rPr>
              <w:t>Secure initial account</w:t>
            </w:r>
          </w:p>
        </w:tc>
      </w:tr>
      <w:tr>
        <w:tc>
          <w:tcPr>
            <w:tcW w:type="dxa" w:w="3427"/>
          </w:tcPr>
          <w:p>
            <w:pPr>
              <w:spacing w:after="0"/>
            </w:pPr>
            <w:r>
              <w:rPr>
                <w:sz w:val="16"/>
              </w:rPr>
              <w:t>3</w:t>
            </w:r>
          </w:p>
        </w:tc>
        <w:tc>
          <w:tcPr>
            <w:tcW w:type="dxa" w:w="3427"/>
          </w:tcPr>
          <w:p>
            <w:pPr>
              <w:spacing w:after="0"/>
            </w:pPr>
            <w:r>
              <w:rPr>
                <w:sz w:val="16"/>
              </w:rPr>
              <w:t>Import standard workbook</w:t>
            </w:r>
          </w:p>
        </w:tc>
        <w:tc>
          <w:tcPr>
            <w:tcW w:type="dxa" w:w="3427"/>
          </w:tcPr>
          <w:p>
            <w:pPr>
              <w:spacing w:after="0"/>
            </w:pPr>
            <w:r>
              <w:rPr>
                <w:sz w:val="16"/>
              </w:rPr>
              <w:t>Draft configuration + validation report</w:t>
            </w:r>
          </w:p>
        </w:tc>
      </w:tr>
      <w:tr>
        <w:tc>
          <w:tcPr>
            <w:tcW w:type="dxa" w:w="3427"/>
            <w:shd w:fill="F3F6F9"/>
          </w:tcPr>
          <w:p>
            <w:pPr>
              <w:spacing w:after="0"/>
            </w:pPr>
            <w:r>
              <w:rPr>
                <w:sz w:val="16"/>
              </w:rPr>
              <w:t>4</w:t>
            </w:r>
          </w:p>
        </w:tc>
        <w:tc>
          <w:tcPr>
            <w:tcW w:type="dxa" w:w="3427"/>
            <w:shd w:fill="F3F6F9"/>
          </w:tcPr>
          <w:p>
            <w:pPr>
              <w:spacing w:after="0"/>
            </w:pPr>
            <w:r>
              <w:rPr>
                <w:sz w:val="16"/>
              </w:rPr>
              <w:t>Review site and inverter count</w:t>
            </w:r>
          </w:p>
        </w:tc>
        <w:tc>
          <w:tcPr>
            <w:tcW w:type="dxa" w:w="3427"/>
            <w:shd w:fill="F3F6F9"/>
          </w:tcPr>
          <w:p>
            <w:pPr>
              <w:spacing w:after="0"/>
            </w:pPr>
            <w:r>
              <w:rPr>
                <w:sz w:val="16"/>
              </w:rPr>
              <w:t>Confirmed site and device count</w:t>
            </w:r>
          </w:p>
        </w:tc>
      </w:tr>
      <w:tr>
        <w:tc>
          <w:tcPr>
            <w:tcW w:type="dxa" w:w="3427"/>
          </w:tcPr>
          <w:p>
            <w:pPr>
              <w:spacing w:after="0"/>
            </w:pPr>
            <w:r>
              <w:rPr>
                <w:sz w:val="16"/>
              </w:rPr>
              <w:t>5</w:t>
            </w:r>
          </w:p>
        </w:tc>
        <w:tc>
          <w:tcPr>
            <w:tcW w:type="dxa" w:w="3427"/>
          </w:tcPr>
          <w:p>
            <w:pPr>
              <w:spacing w:after="0"/>
            </w:pPr>
            <w:r>
              <w:rPr>
                <w:sz w:val="16"/>
              </w:rPr>
              <w:t>Review endpoint generation</w:t>
            </w:r>
          </w:p>
        </w:tc>
        <w:tc>
          <w:tcPr>
            <w:tcW w:type="dxa" w:w="3427"/>
          </w:tcPr>
          <w:p>
            <w:pPr>
              <w:spacing w:after="0"/>
            </w:pPr>
            <w:r>
              <w:rPr>
                <w:sz w:val="16"/>
              </w:rPr>
              <w:t>IP and generated inverter ports preview</w:t>
            </w:r>
          </w:p>
        </w:tc>
      </w:tr>
      <w:tr>
        <w:tc>
          <w:tcPr>
            <w:tcW w:type="dxa" w:w="3427"/>
            <w:shd w:fill="F3F6F9"/>
          </w:tcPr>
          <w:p>
            <w:pPr>
              <w:spacing w:after="0"/>
            </w:pPr>
            <w:r>
              <w:rPr>
                <w:sz w:val="16"/>
              </w:rPr>
              <w:t>6</w:t>
            </w:r>
          </w:p>
        </w:tc>
        <w:tc>
          <w:tcPr>
            <w:tcW w:type="dxa" w:w="3427"/>
            <w:shd w:fill="F3F6F9"/>
          </w:tcPr>
          <w:p>
            <w:pPr>
              <w:spacing w:after="0"/>
            </w:pPr>
            <w:r>
              <w:rPr>
                <w:sz w:val="16"/>
              </w:rPr>
              <w:t>Review Device Array groups</w:t>
            </w:r>
          </w:p>
        </w:tc>
        <w:tc>
          <w:tcPr>
            <w:tcW w:type="dxa" w:w="3427"/>
            <w:shd w:fill="F3F6F9"/>
          </w:tcPr>
          <w:p>
            <w:pPr>
              <w:spacing w:after="0"/>
            </w:pPr>
            <w:r>
              <w:rPr>
                <w:sz w:val="16"/>
              </w:rPr>
              <w:t>WMS/Trafo/TVM/Annunciator grouping and endpoint</w:t>
            </w:r>
          </w:p>
        </w:tc>
      </w:tr>
      <w:tr>
        <w:tc>
          <w:tcPr>
            <w:tcW w:type="dxa" w:w="3427"/>
          </w:tcPr>
          <w:p>
            <w:pPr>
              <w:spacing w:after="0"/>
            </w:pPr>
            <w:r>
              <w:rPr>
                <w:sz w:val="16"/>
              </w:rPr>
              <w:t>7</w:t>
            </w:r>
          </w:p>
        </w:tc>
        <w:tc>
          <w:tcPr>
            <w:tcW w:type="dxa" w:w="3427"/>
          </w:tcPr>
          <w:p>
            <w:pPr>
              <w:spacing w:after="0"/>
            </w:pPr>
            <w:r>
              <w:rPr>
                <w:sz w:val="16"/>
              </w:rPr>
              <w:t>Review decoder profile</w:t>
            </w:r>
          </w:p>
        </w:tc>
        <w:tc>
          <w:tcPr>
            <w:tcW w:type="dxa" w:w="3427"/>
          </w:tcPr>
          <w:p>
            <w:pPr>
              <w:spacing w:after="0"/>
            </w:pPr>
            <w:r>
              <w:rPr>
                <w:sz w:val="16"/>
              </w:rPr>
              <w:t>Function, address, type, scale, units and polling</w:t>
            </w:r>
          </w:p>
        </w:tc>
      </w:tr>
      <w:tr>
        <w:tc>
          <w:tcPr>
            <w:tcW w:type="dxa" w:w="3427"/>
            <w:shd w:fill="F3F6F9"/>
          </w:tcPr>
          <w:p>
            <w:pPr>
              <w:spacing w:after="0"/>
            </w:pPr>
            <w:r>
              <w:rPr>
                <w:sz w:val="16"/>
              </w:rPr>
              <w:t>8</w:t>
            </w:r>
          </w:p>
        </w:tc>
        <w:tc>
          <w:tcPr>
            <w:tcW w:type="dxa" w:w="3427"/>
            <w:shd w:fill="F3F6F9"/>
          </w:tcPr>
          <w:p>
            <w:pPr>
              <w:spacing w:after="0"/>
            </w:pPr>
            <w:r>
              <w:rPr>
                <w:sz w:val="16"/>
              </w:rPr>
              <w:t>Test connection/read</w:t>
            </w:r>
          </w:p>
        </w:tc>
        <w:tc>
          <w:tcPr>
            <w:tcW w:type="dxa" w:w="3427"/>
            <w:shd w:fill="F3F6F9"/>
          </w:tcPr>
          <w:p>
            <w:pPr>
              <w:spacing w:after="0"/>
            </w:pPr>
            <w:r>
              <w:rPr>
                <w:sz w:val="16"/>
              </w:rPr>
              <w:t>Per-device results and raw/decoded values</w:t>
            </w:r>
          </w:p>
        </w:tc>
      </w:tr>
      <w:tr>
        <w:tc>
          <w:tcPr>
            <w:tcW w:type="dxa" w:w="3427"/>
          </w:tcPr>
          <w:p>
            <w:pPr>
              <w:spacing w:after="0"/>
            </w:pPr>
            <w:r>
              <w:rPr>
                <w:sz w:val="16"/>
              </w:rPr>
              <w:t>9</w:t>
            </w:r>
          </w:p>
        </w:tc>
        <w:tc>
          <w:tcPr>
            <w:tcW w:type="dxa" w:w="3427"/>
          </w:tcPr>
          <w:p>
            <w:pPr>
              <w:spacing w:after="0"/>
            </w:pPr>
            <w:r>
              <w:rPr>
                <w:sz w:val="16"/>
              </w:rPr>
              <w:t>Central server and retention</w:t>
            </w:r>
          </w:p>
        </w:tc>
        <w:tc>
          <w:tcPr>
            <w:tcW w:type="dxa" w:w="3427"/>
          </w:tcPr>
          <w:p>
            <w:pPr>
              <w:spacing w:after="0"/>
            </w:pPr>
            <w:r>
              <w:rPr>
                <w:sz w:val="16"/>
              </w:rPr>
              <w:t>Central sync and local retention settings</w:t>
            </w:r>
          </w:p>
        </w:tc>
      </w:tr>
      <w:tr>
        <w:tc>
          <w:tcPr>
            <w:tcW w:type="dxa" w:w="3427"/>
            <w:shd w:fill="F3F6F9"/>
          </w:tcPr>
          <w:p>
            <w:pPr>
              <w:spacing w:after="0"/>
            </w:pPr>
            <w:r>
              <w:rPr>
                <w:sz w:val="16"/>
              </w:rPr>
              <w:t>10</w:t>
            </w:r>
          </w:p>
        </w:tc>
        <w:tc>
          <w:tcPr>
            <w:tcW w:type="dxa" w:w="3427"/>
            <w:shd w:fill="F3F6F9"/>
          </w:tcPr>
          <w:p>
            <w:pPr>
              <w:spacing w:after="0"/>
            </w:pPr>
            <w:r>
              <w:rPr>
                <w:sz w:val="16"/>
              </w:rPr>
              <w:t>Validate and publish</w:t>
            </w:r>
          </w:p>
        </w:tc>
        <w:tc>
          <w:tcPr>
            <w:tcW w:type="dxa" w:w="3427"/>
            <w:shd w:fill="F3F6F9"/>
          </w:tcPr>
          <w:p>
            <w:pPr>
              <w:spacing w:after="0"/>
            </w:pPr>
            <w:r>
              <w:rPr>
                <w:sz w:val="16"/>
              </w:rPr>
              <w:t>Active immutable configuration version</w:t>
            </w:r>
          </w:p>
        </w:tc>
      </w:tr>
      <w:tr>
        <w:tc>
          <w:tcPr>
            <w:tcW w:type="dxa" w:w="3427"/>
          </w:tcPr>
          <w:p>
            <w:pPr>
              <w:spacing w:after="0"/>
            </w:pPr>
            <w:r>
              <w:rPr>
                <w:sz w:val="16"/>
              </w:rPr>
              <w:t>11</w:t>
            </w:r>
          </w:p>
        </w:tc>
        <w:tc>
          <w:tcPr>
            <w:tcW w:type="dxa" w:w="3427"/>
          </w:tcPr>
          <w:p>
            <w:pPr>
              <w:spacing w:after="0"/>
            </w:pPr>
            <w:r>
              <w:rPr>
                <w:sz w:val="16"/>
              </w:rPr>
              <w:t>Runtime health</w:t>
            </w:r>
          </w:p>
        </w:tc>
        <w:tc>
          <w:tcPr>
            <w:tcW w:type="dxa" w:w="3427"/>
          </w:tcPr>
          <w:p>
            <w:pPr>
              <w:spacing w:after="0"/>
            </w:pPr>
            <w:r>
              <w:rPr>
                <w:sz w:val="16"/>
              </w:rPr>
              <w:t>Service status, live data, sync backlog</w:t>
            </w:r>
          </w:p>
        </w:tc>
      </w:tr>
    </w:tbl>
    <w:p/>
    <w:tbl>
      <w:tblPr>
        <w:tblStyle w:val="TableGrid"/>
        <w:tblW w:type="auto" w:w="0"/>
        <w:tblLook w:firstColumn="1" w:firstRow="1" w:lastColumn="0" w:lastRow="0" w:noHBand="0" w:noVBand="1" w:val="04A0"/>
      </w:tblPr>
      <w:tblGrid>
        <w:gridCol w:w="10282"/>
      </w:tblGrid>
      <w:tr>
        <w:tc>
          <w:tcPr>
            <w:tcW w:type="dxa" w:w="10282"/>
            <w:shd w:fill="F1F5F9"/>
          </w:tcPr>
          <w:p>
            <w:pPr>
              <w:spacing w:after="0"/>
            </w:pPr>
            <w:r/>
            <w:r>
              <w:rPr>
                <w:rFonts w:ascii="Consolas" w:hAnsi="Consolas"/>
                <w:color w:val="132238"/>
                <w:sz w:val="16"/>
              </w:rPr>
              <w:t>SCADA-Setup.exe installs/registers:</w:t>
            </w:r>
          </w:p>
          <w:p>
            <w:pPr>
              <w:spacing w:after="0"/>
            </w:pPr>
            <w:r>
              <w:rPr>
                <w:rFonts w:ascii="Consolas" w:hAnsi="Consolas"/>
                <w:color w:val="132238"/>
                <w:sz w:val="16"/>
              </w:rPr>
              <w:t xml:space="preserve">  React/TypeScript frontend</w:t>
            </w:r>
          </w:p>
          <w:p>
            <w:pPr>
              <w:spacing w:after="0"/>
            </w:pPr>
            <w:r>
              <w:rPr>
                <w:rFonts w:ascii="Consolas" w:hAnsi="Consolas"/>
                <w:color w:val="132238"/>
                <w:sz w:val="16"/>
              </w:rPr>
              <w:t xml:space="preserve">  FastAPI service</w:t>
            </w:r>
          </w:p>
          <w:p>
            <w:pPr>
              <w:spacing w:after="0"/>
            </w:pPr>
            <w:r>
              <w:rPr>
                <w:rFonts w:ascii="Consolas" w:hAnsi="Consolas"/>
                <w:color w:val="132238"/>
                <w:sz w:val="16"/>
              </w:rPr>
              <w:t xml:space="preserve">  Modbus acquisition service</w:t>
            </w:r>
          </w:p>
          <w:p>
            <w:pPr>
              <w:spacing w:after="0"/>
            </w:pPr>
            <w:r>
              <w:rPr>
                <w:rFonts w:ascii="Consolas" w:hAnsi="Consolas"/>
                <w:color w:val="132238"/>
                <w:sz w:val="16"/>
              </w:rPr>
              <w:t xml:space="preserve">  Central sync service</w:t>
            </w:r>
          </w:p>
          <w:p>
            <w:pPr>
              <w:spacing w:after="0"/>
            </w:pPr>
            <w:r>
              <w:rPr>
                <w:rFonts w:ascii="Consolas" w:hAnsi="Consolas"/>
                <w:color w:val="132238"/>
                <w:sz w:val="16"/>
              </w:rPr>
              <w:t xml:space="preserve">  Retention service</w:t>
            </w:r>
          </w:p>
          <w:p>
            <w:pPr>
              <w:spacing w:after="0"/>
            </w:pPr>
            <w:r>
              <w:rPr>
                <w:rFonts w:ascii="Consolas" w:hAnsi="Consolas"/>
                <w:color w:val="132238"/>
                <w:sz w:val="16"/>
              </w:rPr>
              <w:t xml:space="preserve">  Optional watchdog/health service</w:t>
            </w:r>
          </w:p>
          <w:p>
            <w:pPr>
              <w:spacing w:after="0"/>
            </w:pPr>
            <w:r>
              <w:rPr>
                <w:rFonts w:ascii="Consolas" w:hAnsi="Consolas"/>
                <w:color w:val="132238"/>
                <w:sz w:val="16"/>
              </w:rPr>
              <w:t xml:space="preserve">  PostgreSQL as a managed prerequisite or installer-managed component</w:t>
            </w:r>
          </w:p>
        </w:tc>
      </w:tr>
    </w:tbl>
    <w:p/>
    <w:p>
      <w:r>
        <w:t>Suggested Windows services: EnrichSCADA_API, EnrichSCADA_Acquisition, EnrichSCADA_Sync, EnrichSCADA_Retention and optional EnrichSCADA_Watchdog. The browser is not responsible for polling PLCs.</w:t>
      </w:r>
    </w:p>
    <w:p>
      <w:pPr>
        <w:pStyle w:val="Heading1"/>
      </w:pPr>
      <w:r>
        <w:t>8. Runtime and 24×7 Behavior</w:t>
      </w:r>
    </w:p>
    <w:tbl>
      <w:tblPr>
        <w:tblStyle w:val="TableGrid"/>
        <w:tblW w:type="auto" w:w="0"/>
        <w:tblLook w:firstColumn="1" w:firstRow="1" w:lastColumn="0" w:lastRow="0" w:noHBand="0" w:noVBand="1" w:val="04A0"/>
      </w:tblPr>
      <w:tblGrid>
        <w:gridCol w:w="10282"/>
      </w:tblGrid>
      <w:tr>
        <w:tc>
          <w:tcPr>
            <w:tcW w:type="dxa" w:w="10282"/>
            <w:shd w:fill="F1F5F9"/>
          </w:tcPr>
          <w:p>
            <w:pPr>
              <w:spacing w:after="0"/>
            </w:pPr>
            <w:r/>
            <w:r>
              <w:rPr>
                <w:rFonts w:ascii="Consolas" w:hAnsi="Consolas"/>
                <w:color w:val="132238"/>
                <w:sz w:val="16"/>
              </w:rPr>
              <w:t>Windows boot → PostgreSQL ready → API starts</w:t>
            </w:r>
          </w:p>
          <w:p>
            <w:pPr>
              <w:spacing w:after="0"/>
            </w:pPr>
            <w:r>
              <w:rPr>
                <w:rFonts w:ascii="Consolas" w:hAnsi="Consolas"/>
                <w:color w:val="132238"/>
                <w:sz w:val="16"/>
              </w:rPr>
              <w:t>→ Acquisition loads ACTIVE config snapshot</w:t>
            </w:r>
          </w:p>
          <w:p>
            <w:pPr>
              <w:spacing w:after="0"/>
            </w:pPr>
            <w:r>
              <w:rPr>
                <w:rFonts w:ascii="Consolas" w:hAnsi="Consolas"/>
                <w:color w:val="132238"/>
                <w:sz w:val="16"/>
              </w:rPr>
              <w:t>→ connect to generated inverter endpoints and Device Array endpoint</w:t>
            </w:r>
          </w:p>
          <w:p>
            <w:pPr>
              <w:spacing w:after="0"/>
            </w:pPr>
            <w:r>
              <w:rPr>
                <w:rFonts w:ascii="Consolas" w:hAnsi="Consolas"/>
                <w:color w:val="132238"/>
                <w:sz w:val="16"/>
              </w:rPr>
              <w:t>→ poll/decode/scale/quality-check</w:t>
            </w:r>
          </w:p>
          <w:p>
            <w:pPr>
              <w:spacing w:after="0"/>
            </w:pPr>
            <w:r>
              <w:rPr>
                <w:rFonts w:ascii="Consolas" w:hAnsi="Consolas"/>
                <w:color w:val="132238"/>
                <w:sz w:val="16"/>
              </w:rPr>
              <w:t>→ write current values + historian + alarms + sync outbox</w:t>
            </w:r>
          </w:p>
          <w:p>
            <w:pPr>
              <w:spacing w:after="0"/>
            </w:pPr>
            <w:r>
              <w:rPr>
                <w:rFonts w:ascii="Consolas" w:hAnsi="Consolas"/>
                <w:color w:val="132238"/>
                <w:sz w:val="16"/>
              </w:rPr>
              <w:t>→ sync worker uploads batches to central API</w:t>
            </w:r>
          </w:p>
          <w:p>
            <w:pPr>
              <w:spacing w:after="0"/>
            </w:pPr>
            <w:r>
              <w:rPr>
                <w:rFonts w:ascii="Consolas" w:hAnsi="Consolas"/>
                <w:color w:val="132238"/>
                <w:sz w:val="16"/>
              </w:rPr>
              <w:t>→ retention service manages local history</w:t>
            </w:r>
          </w:p>
        </w:tc>
      </w:tr>
    </w:tbl>
    <w:p/>
    <w:tbl>
      <w:tblPr>
        <w:tblStyle w:val="TableGrid"/>
        <w:tblW w:type="auto" w:w="0"/>
        <w:tblLook w:firstColumn="1" w:firstRow="1" w:lastColumn="0" w:lastRow="0" w:noHBand="0" w:noVBand="1" w:val="04A0"/>
      </w:tblPr>
      <w:tblGrid>
        <w:gridCol w:w="5141"/>
        <w:gridCol w:w="5141"/>
      </w:tblGrid>
      <w:tr>
        <w:tc>
          <w:tcPr>
            <w:tcW w:type="dxa" w:w="5141"/>
            <w:shd w:fill="132238"/>
          </w:tcPr>
          <w:p>
            <w:r>
              <w:rPr>
                <w:b/>
                <w:color w:val="FFFFFF"/>
                <w:sz w:val="16"/>
              </w:rPr>
              <w:t>Scenario</w:t>
            </w:r>
          </w:p>
        </w:tc>
        <w:tc>
          <w:tcPr>
            <w:tcW w:type="dxa" w:w="5141"/>
            <w:shd w:fill="132238"/>
          </w:tcPr>
          <w:p>
            <w:r>
              <w:rPr>
                <w:b/>
                <w:color w:val="FFFFFF"/>
                <w:sz w:val="16"/>
              </w:rPr>
              <w:t>Expected behavior</w:t>
            </w:r>
          </w:p>
        </w:tc>
      </w:tr>
      <w:tr>
        <w:tc>
          <w:tcPr>
            <w:tcW w:type="dxa" w:w="5141"/>
          </w:tcPr>
          <w:p>
            <w:pPr>
              <w:spacing w:after="0"/>
            </w:pPr>
            <w:r>
              <w:rPr>
                <w:sz w:val="16"/>
              </w:rPr>
              <w:t>Browser closed</w:t>
            </w:r>
          </w:p>
        </w:tc>
        <w:tc>
          <w:tcPr>
            <w:tcW w:type="dxa" w:w="5141"/>
          </w:tcPr>
          <w:p>
            <w:pPr>
              <w:spacing w:after="0"/>
            </w:pPr>
            <w:r>
              <w:rPr>
                <w:sz w:val="16"/>
              </w:rPr>
              <w:t>Acquisition, local database, alarms, sync and retention continue.</w:t>
            </w:r>
          </w:p>
        </w:tc>
      </w:tr>
      <w:tr>
        <w:tc>
          <w:tcPr>
            <w:tcW w:type="dxa" w:w="5141"/>
            <w:shd w:fill="F3F6F9"/>
          </w:tcPr>
          <w:p>
            <w:pPr>
              <w:spacing w:after="0"/>
            </w:pPr>
            <w:r>
              <w:rPr>
                <w:sz w:val="16"/>
              </w:rPr>
              <w:t>Internet unavailable</w:t>
            </w:r>
          </w:p>
        </w:tc>
        <w:tc>
          <w:tcPr>
            <w:tcW w:type="dxa" w:w="5141"/>
            <w:shd w:fill="F3F6F9"/>
          </w:tcPr>
          <w:p>
            <w:pPr>
              <w:spacing w:after="0"/>
            </w:pPr>
            <w:r>
              <w:rPr>
                <w:sz w:val="16"/>
              </w:rPr>
              <w:t>Local reads/history continue; outbox remains pending; sync resumes later.</w:t>
            </w:r>
          </w:p>
        </w:tc>
      </w:tr>
      <w:tr>
        <w:tc>
          <w:tcPr>
            <w:tcW w:type="dxa" w:w="5141"/>
          </w:tcPr>
          <w:p>
            <w:pPr>
              <w:spacing w:after="0"/>
            </w:pPr>
            <w:r>
              <w:rPr>
                <w:sz w:val="16"/>
              </w:rPr>
              <w:t>One inverter offline</w:t>
            </w:r>
          </w:p>
        </w:tc>
        <w:tc>
          <w:tcPr>
            <w:tcW w:type="dxa" w:w="5141"/>
          </w:tcPr>
          <w:p>
            <w:pPr>
              <w:spacing w:after="0"/>
            </w:pPr>
            <w:r>
              <w:rPr>
                <w:sz w:val="16"/>
              </w:rPr>
              <w:t>That endpoint shows communication failure/stale quality; other devices continue.</w:t>
            </w:r>
          </w:p>
        </w:tc>
      </w:tr>
      <w:tr>
        <w:tc>
          <w:tcPr>
            <w:tcW w:type="dxa" w:w="5141"/>
            <w:shd w:fill="F3F6F9"/>
          </w:tcPr>
          <w:p>
            <w:pPr>
              <w:spacing w:after="0"/>
            </w:pPr>
            <w:r>
              <w:rPr>
                <w:sz w:val="16"/>
              </w:rPr>
              <w:t>Service crash</w:t>
            </w:r>
          </w:p>
        </w:tc>
        <w:tc>
          <w:tcPr>
            <w:tcW w:type="dxa" w:w="5141"/>
            <w:shd w:fill="F3F6F9"/>
          </w:tcPr>
          <w:p>
            <w:pPr>
              <w:spacing w:after="0"/>
            </w:pPr>
            <w:r>
              <w:rPr>
                <w:sz w:val="16"/>
              </w:rPr>
              <w:t>Windows recovery restarts service; health log records outage.</w:t>
            </w:r>
          </w:p>
        </w:tc>
      </w:tr>
      <w:tr>
        <w:tc>
          <w:tcPr>
            <w:tcW w:type="dxa" w:w="5141"/>
          </w:tcPr>
          <w:p>
            <w:pPr>
              <w:spacing w:after="0"/>
            </w:pPr>
            <w:r>
              <w:rPr>
                <w:sz w:val="16"/>
              </w:rPr>
              <w:t>Bad import</w:t>
            </w:r>
          </w:p>
        </w:tc>
        <w:tc>
          <w:tcPr>
            <w:tcW w:type="dxa" w:w="5141"/>
          </w:tcPr>
          <w:p>
            <w:pPr>
              <w:spacing w:after="0"/>
            </w:pPr>
            <w:r>
              <w:rPr>
                <w:sz w:val="16"/>
              </w:rPr>
              <w:t>Draft rejected; active version unchanged.</w:t>
            </w:r>
          </w:p>
        </w:tc>
      </w:tr>
      <w:tr>
        <w:tc>
          <w:tcPr>
            <w:tcW w:type="dxa" w:w="5141"/>
            <w:shd w:fill="F3F6F9"/>
          </w:tcPr>
          <w:p>
            <w:pPr>
              <w:spacing w:after="0"/>
            </w:pPr>
            <w:r>
              <w:rPr>
                <w:sz w:val="16"/>
              </w:rPr>
              <w:t>Count changed</w:t>
            </w:r>
          </w:p>
        </w:tc>
        <w:tc>
          <w:tcPr>
            <w:tcW w:type="dxa" w:w="5141"/>
            <w:shd w:fill="F3F6F9"/>
          </w:tcPr>
          <w:p>
            <w:pPr>
              <w:spacing w:after="0"/>
            </w:pPr>
            <w:r>
              <w:rPr>
                <w:sz w:val="16"/>
              </w:rPr>
              <w:t>Preview generated endpoints/tags and validate port conflicts before publish.</w:t>
            </w:r>
          </w:p>
        </w:tc>
      </w:tr>
      <w:tr>
        <w:tc>
          <w:tcPr>
            <w:tcW w:type="dxa" w:w="5141"/>
          </w:tcPr>
          <w:p>
            <w:pPr>
              <w:spacing w:after="0"/>
            </w:pPr>
            <w:r>
              <w:rPr>
                <w:sz w:val="16"/>
              </w:rPr>
              <w:t>Template update</w:t>
            </w:r>
          </w:p>
        </w:tc>
        <w:tc>
          <w:tcPr>
            <w:tcW w:type="dxa" w:w="5141"/>
          </w:tcPr>
          <w:p>
            <w:pPr>
              <w:spacing w:after="0"/>
            </w:pPr>
            <w:r>
              <w:rPr>
                <w:sz w:val="16"/>
              </w:rPr>
              <w:t>Show a diff; affected assets migrate only after explicit approval.</w:t>
            </w:r>
          </w:p>
        </w:tc>
      </w:tr>
    </w:tbl>
    <w:p/>
    <w:p>
      <w:r>
        <w:t>Never display failed communication as a valid zero. Keep last known value with its timestamp and STALE/COMMUNICATION_FAILURE quality.</w:t>
      </w:r>
    </w:p>
    <w:p>
      <w:pPr>
        <w:pStyle w:val="Heading1"/>
      </w:pPr>
      <w:r>
        <w:t>9. Database Model and Versioning</w:t>
      </w:r>
    </w:p>
    <w:tbl>
      <w:tblPr>
        <w:tblStyle w:val="TableGrid"/>
        <w:tblW w:type="auto" w:w="0"/>
        <w:tblLook w:firstColumn="1" w:firstRow="1" w:lastColumn="0" w:lastRow="0" w:noHBand="0" w:noVBand="1" w:val="04A0"/>
      </w:tblPr>
      <w:tblGrid>
        <w:gridCol w:w="5141"/>
        <w:gridCol w:w="5141"/>
      </w:tblGrid>
      <w:tr>
        <w:tc>
          <w:tcPr>
            <w:tcW w:type="dxa" w:w="5141"/>
            <w:shd w:fill="132238"/>
          </w:tcPr>
          <w:p>
            <w:r>
              <w:rPr>
                <w:b/>
                <w:color w:val="FFFFFF"/>
                <w:sz w:val="16"/>
              </w:rPr>
              <w:t>Table/group</w:t>
            </w:r>
          </w:p>
        </w:tc>
        <w:tc>
          <w:tcPr>
            <w:tcW w:type="dxa" w:w="5141"/>
            <w:shd w:fill="132238"/>
          </w:tcPr>
          <w:p>
            <w:r>
              <w:rPr>
                <w:b/>
                <w:color w:val="FFFFFF"/>
                <w:sz w:val="16"/>
              </w:rPr>
              <w:t>Purpose</w:t>
            </w:r>
          </w:p>
        </w:tc>
      </w:tr>
      <w:tr>
        <w:tc>
          <w:tcPr>
            <w:tcW w:type="dxa" w:w="5141"/>
          </w:tcPr>
          <w:p>
            <w:pPr>
              <w:spacing w:after="0"/>
            </w:pPr>
            <w:r>
              <w:rPr>
                <w:sz w:val="16"/>
              </w:rPr>
              <w:t>sites / plants</w:t>
            </w:r>
          </w:p>
        </w:tc>
        <w:tc>
          <w:tcPr>
            <w:tcW w:type="dxa" w:w="5141"/>
          </w:tcPr>
          <w:p>
            <w:pPr>
              <w:spacing w:after="0"/>
            </w:pPr>
            <w:r>
              <w:rPr>
                <w:sz w:val="16"/>
              </w:rPr>
              <w:t>Site and plant identity/capacity/timezone</w:t>
            </w:r>
          </w:p>
        </w:tc>
      </w:tr>
      <w:tr>
        <w:tc>
          <w:tcPr>
            <w:tcW w:type="dxa" w:w="5141"/>
            <w:shd w:fill="F3F6F9"/>
          </w:tcPr>
          <w:p>
            <w:pPr>
              <w:spacing w:after="0"/>
            </w:pPr>
            <w:r>
              <w:rPr>
                <w:sz w:val="16"/>
              </w:rPr>
              <w:t>assets</w:t>
            </w:r>
          </w:p>
        </w:tc>
        <w:tc>
          <w:tcPr>
            <w:tcW w:type="dxa" w:w="5141"/>
            <w:shd w:fill="F3F6F9"/>
          </w:tcPr>
          <w:p>
            <w:pPr>
              <w:spacing w:after="0"/>
            </w:pPr>
            <w:r>
              <w:rPr>
                <w:sz w:val="16"/>
              </w:rPr>
              <w:t>Generated inverters and logical Device Array assets/groups</w:t>
            </w:r>
          </w:p>
        </w:tc>
      </w:tr>
      <w:tr>
        <w:tc>
          <w:tcPr>
            <w:tcW w:type="dxa" w:w="5141"/>
          </w:tcPr>
          <w:p>
            <w:pPr>
              <w:spacing w:after="0"/>
            </w:pPr>
            <w:r>
              <w:rPr>
                <w:sz w:val="16"/>
              </w:rPr>
              <w:t>asset_plant_mappings</w:t>
            </w:r>
          </w:p>
        </w:tc>
        <w:tc>
          <w:tcPr>
            <w:tcW w:type="dxa" w:w="5141"/>
          </w:tcPr>
          <w:p>
            <w:pPr>
              <w:spacing w:after="0"/>
            </w:pPr>
            <w:r>
              <w:rPr>
                <w:sz w:val="16"/>
              </w:rPr>
              <w:t>Map shared WMS/Trafo/TVM/Annunciator/PLC to one or more plants</w:t>
            </w:r>
          </w:p>
        </w:tc>
      </w:tr>
      <w:tr>
        <w:tc>
          <w:tcPr>
            <w:tcW w:type="dxa" w:w="5141"/>
            <w:shd w:fill="F3F6F9"/>
          </w:tcPr>
          <w:p>
            <w:pPr>
              <w:spacing w:after="0"/>
            </w:pPr>
            <w:r>
              <w:rPr>
                <w:sz w:val="16"/>
              </w:rPr>
              <w:t>communication_configurations</w:t>
            </w:r>
          </w:p>
        </w:tc>
        <w:tc>
          <w:tcPr>
            <w:tcW w:type="dxa" w:w="5141"/>
            <w:shd w:fill="F3F6F9"/>
          </w:tcPr>
          <w:p>
            <w:pPr>
              <w:spacing w:after="0"/>
            </w:pPr>
            <w:r>
              <w:rPr>
                <w:sz w:val="16"/>
              </w:rPr>
              <w:t>Protocol, IP/port or serial settings, timeout/retry and Unit ID</w:t>
            </w:r>
          </w:p>
        </w:tc>
      </w:tr>
      <w:tr>
        <w:tc>
          <w:tcPr>
            <w:tcW w:type="dxa" w:w="5141"/>
          </w:tcPr>
          <w:p>
            <w:pPr>
              <w:spacing w:after="0"/>
            </w:pPr>
            <w:r>
              <w:rPr>
                <w:sz w:val="16"/>
              </w:rPr>
              <w:t>tag_definitions</w:t>
            </w:r>
          </w:p>
        </w:tc>
        <w:tc>
          <w:tcPr>
            <w:tcW w:type="dxa" w:w="5141"/>
          </w:tcPr>
          <w:p>
            <w:pPr>
              <w:spacing w:after="0"/>
            </w:pPr>
            <w:r>
              <w:rPr>
                <w:sz w:val="16"/>
              </w:rPr>
              <w:t>Universal Tag Codes, names, units, category and approval state</w:t>
            </w:r>
          </w:p>
        </w:tc>
      </w:tr>
      <w:tr>
        <w:tc>
          <w:tcPr>
            <w:tcW w:type="dxa" w:w="5141"/>
            <w:shd w:fill="F3F6F9"/>
          </w:tcPr>
          <w:p>
            <w:pPr>
              <w:spacing w:after="0"/>
            </w:pPr>
            <w:r>
              <w:rPr>
                <w:sz w:val="16"/>
              </w:rPr>
              <w:t>device_templates</w:t>
            </w:r>
          </w:p>
        </w:tc>
        <w:tc>
          <w:tcPr>
            <w:tcW w:type="dxa" w:w="5141"/>
            <w:shd w:fill="F3F6F9"/>
          </w:tcPr>
          <w:p>
            <w:pPr>
              <w:spacing w:after="0"/>
            </w:pPr>
            <w:r>
              <w:rPr>
                <w:sz w:val="16"/>
              </w:rPr>
              <w:t>Versioned manufacturer/model register map</w:t>
            </w:r>
          </w:p>
        </w:tc>
      </w:tr>
      <w:tr>
        <w:tc>
          <w:tcPr>
            <w:tcW w:type="dxa" w:w="5141"/>
          </w:tcPr>
          <w:p>
            <w:pPr>
              <w:spacing w:after="0"/>
            </w:pPr>
            <w:r>
              <w:rPr>
                <w:sz w:val="16"/>
              </w:rPr>
              <w:t>template_tag_mappings</w:t>
            </w:r>
          </w:p>
        </w:tc>
        <w:tc>
          <w:tcPr>
            <w:tcW w:type="dxa" w:w="5141"/>
          </w:tcPr>
          <w:p>
            <w:pPr>
              <w:spacing w:after="0"/>
            </w:pPr>
            <w:r>
              <w:rPr>
                <w:sz w:val="16"/>
              </w:rPr>
              <w:t>Workbook parameter/address and decoder metadata</w:t>
            </w:r>
          </w:p>
        </w:tc>
      </w:tr>
      <w:tr>
        <w:tc>
          <w:tcPr>
            <w:tcW w:type="dxa" w:w="5141"/>
            <w:shd w:fill="F3F6F9"/>
          </w:tcPr>
          <w:p>
            <w:pPr>
              <w:spacing w:after="0"/>
            </w:pPr>
            <w:r>
              <w:rPr>
                <w:sz w:val="16"/>
              </w:rPr>
              <w:t>asset_tag_instances</w:t>
            </w:r>
          </w:p>
        </w:tc>
        <w:tc>
          <w:tcPr>
            <w:tcW w:type="dxa" w:w="5141"/>
            <w:shd w:fill="F3F6F9"/>
          </w:tcPr>
          <w:p>
            <w:pPr>
              <w:spacing w:after="0"/>
            </w:pPr>
            <w:r>
              <w:rPr>
                <w:sz w:val="16"/>
              </w:rPr>
              <w:t>Resolved tags per generated device, with effective address/index</w:t>
            </w:r>
          </w:p>
        </w:tc>
      </w:tr>
      <w:tr>
        <w:tc>
          <w:tcPr>
            <w:tcW w:type="dxa" w:w="5141"/>
          </w:tcPr>
          <w:p>
            <w:pPr>
              <w:spacing w:after="0"/>
            </w:pPr>
            <w:r>
              <w:rPr>
                <w:sz w:val="16"/>
              </w:rPr>
              <w:t>register_blocks</w:t>
            </w:r>
          </w:p>
        </w:tc>
        <w:tc>
          <w:tcPr>
            <w:tcW w:type="dxa" w:w="5141"/>
          </w:tcPr>
          <w:p>
            <w:pPr>
              <w:spacing w:after="0"/>
            </w:pPr>
            <w:r>
              <w:rPr>
                <w:sz w:val="16"/>
              </w:rPr>
              <w:t>Contiguous read ranges and child offsets</w:t>
            </w:r>
          </w:p>
        </w:tc>
      </w:tr>
      <w:tr>
        <w:tc>
          <w:tcPr>
            <w:tcW w:type="dxa" w:w="5141"/>
            <w:shd w:fill="F3F6F9"/>
          </w:tcPr>
          <w:p>
            <w:pPr>
              <w:spacing w:after="0"/>
            </w:pPr>
            <w:r>
              <w:rPr>
                <w:sz w:val="16"/>
              </w:rPr>
              <w:t>current_values</w:t>
            </w:r>
          </w:p>
        </w:tc>
        <w:tc>
          <w:tcPr>
            <w:tcW w:type="dxa" w:w="5141"/>
            <w:shd w:fill="F3F6F9"/>
          </w:tcPr>
          <w:p>
            <w:pPr>
              <w:spacing w:after="0"/>
            </w:pPr>
            <w:r>
              <w:rPr>
                <w:sz w:val="16"/>
              </w:rPr>
              <w:t>Latest value, quality and timestamp per tag instance</w:t>
            </w:r>
          </w:p>
        </w:tc>
      </w:tr>
      <w:tr>
        <w:tc>
          <w:tcPr>
            <w:tcW w:type="dxa" w:w="5141"/>
          </w:tcPr>
          <w:p>
            <w:pPr>
              <w:spacing w:after="0"/>
            </w:pPr>
            <w:r>
              <w:rPr>
                <w:sz w:val="16"/>
              </w:rPr>
              <w:t>historical_values</w:t>
            </w:r>
          </w:p>
        </w:tc>
        <w:tc>
          <w:tcPr>
            <w:tcW w:type="dxa" w:w="5141"/>
          </w:tcPr>
          <w:p>
            <w:pPr>
              <w:spacing w:after="0"/>
            </w:pPr>
            <w:r>
              <w:rPr>
                <w:sz w:val="16"/>
              </w:rPr>
              <w:t>Time-series records, partitioned by time</w:t>
            </w:r>
          </w:p>
        </w:tc>
      </w:tr>
      <w:tr>
        <w:tc>
          <w:tcPr>
            <w:tcW w:type="dxa" w:w="5141"/>
            <w:shd w:fill="F3F6F9"/>
          </w:tcPr>
          <w:p>
            <w:pPr>
              <w:spacing w:after="0"/>
            </w:pPr>
            <w:r>
              <w:rPr>
                <w:sz w:val="16"/>
              </w:rPr>
              <w:t>device_status</w:t>
            </w:r>
          </w:p>
        </w:tc>
        <w:tc>
          <w:tcPr>
            <w:tcW w:type="dxa" w:w="5141"/>
            <w:shd w:fill="F3F6F9"/>
          </w:tcPr>
          <w:p>
            <w:pPr>
              <w:spacing w:after="0"/>
            </w:pPr>
            <w:r>
              <w:rPr>
                <w:sz w:val="16"/>
              </w:rPr>
              <w:t>Connection state, last success/failure and response time</w:t>
            </w:r>
          </w:p>
        </w:tc>
      </w:tr>
      <w:tr>
        <w:tc>
          <w:tcPr>
            <w:tcW w:type="dxa" w:w="5141"/>
          </w:tcPr>
          <w:p>
            <w:pPr>
              <w:spacing w:after="0"/>
            </w:pPr>
            <w:r>
              <w:rPr>
                <w:sz w:val="16"/>
              </w:rPr>
              <w:t>alarm_rules / alarm_events</w:t>
            </w:r>
          </w:p>
        </w:tc>
        <w:tc>
          <w:tcPr>
            <w:tcW w:type="dxa" w:w="5141"/>
          </w:tcPr>
          <w:p>
            <w:pPr>
              <w:spacing w:after="0"/>
            </w:pPr>
            <w:r>
              <w:rPr>
                <w:sz w:val="16"/>
              </w:rPr>
              <w:t>Alarm definitions and lifecycle</w:t>
            </w:r>
          </w:p>
        </w:tc>
      </w:tr>
      <w:tr>
        <w:tc>
          <w:tcPr>
            <w:tcW w:type="dxa" w:w="5141"/>
            <w:shd w:fill="F3F6F9"/>
          </w:tcPr>
          <w:p>
            <w:pPr>
              <w:spacing w:after="0"/>
            </w:pPr>
            <w:r>
              <w:rPr>
                <w:sz w:val="16"/>
              </w:rPr>
              <w:t>sync_queue</w:t>
            </w:r>
          </w:p>
        </w:tc>
        <w:tc>
          <w:tcPr>
            <w:tcW w:type="dxa" w:w="5141"/>
            <w:shd w:fill="F3F6F9"/>
          </w:tcPr>
          <w:p>
            <w:pPr>
              <w:spacing w:after="0"/>
            </w:pPr>
            <w:r>
              <w:rPr>
                <w:sz w:val="16"/>
              </w:rPr>
              <w:t>Durable outbox with unique event ID and retry state</w:t>
            </w:r>
          </w:p>
        </w:tc>
      </w:tr>
      <w:tr>
        <w:tc>
          <w:tcPr>
            <w:tcW w:type="dxa" w:w="5141"/>
          </w:tcPr>
          <w:p>
            <w:pPr>
              <w:spacing w:after="0"/>
            </w:pPr>
            <w:r>
              <w:rPr>
                <w:sz w:val="16"/>
              </w:rPr>
              <w:t>configuration_versions / changes</w:t>
            </w:r>
          </w:p>
        </w:tc>
        <w:tc>
          <w:tcPr>
            <w:tcW w:type="dxa" w:w="5141"/>
          </w:tcPr>
          <w:p>
            <w:pPr>
              <w:spacing w:after="0"/>
            </w:pPr>
            <w:r>
              <w:rPr>
                <w:sz w:val="16"/>
              </w:rPr>
              <w:t>Immutable snapshots and old/new differences</w:t>
            </w:r>
          </w:p>
        </w:tc>
      </w:tr>
      <w:tr>
        <w:tc>
          <w:tcPr>
            <w:tcW w:type="dxa" w:w="5141"/>
            <w:shd w:fill="F3F6F9"/>
          </w:tcPr>
          <w:p>
            <w:pPr>
              <w:spacing w:after="0"/>
            </w:pPr>
            <w:r>
              <w:rPr>
                <w:sz w:val="16"/>
              </w:rPr>
              <w:t>service_heartbeat / audit_logs / users</w:t>
            </w:r>
          </w:p>
        </w:tc>
        <w:tc>
          <w:tcPr>
            <w:tcW w:type="dxa" w:w="5141"/>
            <w:shd w:fill="F3F6F9"/>
          </w:tcPr>
          <w:p>
            <w:pPr>
              <w:spacing w:after="0"/>
            </w:pPr>
            <w:r>
              <w:rPr>
                <w:sz w:val="16"/>
              </w:rPr>
              <w:t>Runtime health, traceability and access control</w:t>
            </w:r>
          </w:p>
        </w:tc>
      </w:tr>
    </w:tbl>
    <w:p/>
    <w:p>
      <w:pPr>
        <w:pStyle w:val="ListBullet"/>
      </w:pPr>
      <w:r>
        <w:t>Store the imported workbook name, format version, content hash, importer user and timestamp.</w:t>
      </w:r>
    </w:p>
    <w:p>
      <w:pPr>
        <w:pStyle w:val="ListBullet"/>
      </w:pPr>
      <w:r>
        <w:t>Store a normalized snapshot; do not depend on a mutable Excel file at runtime.</w:t>
      </w:r>
    </w:p>
    <w:p>
      <w:pPr>
        <w:pStyle w:val="ListBullet"/>
      </w:pPr>
      <w:r>
        <w:t>Published versions are immutable. Corrections create a new version.</w:t>
      </w:r>
    </w:p>
    <w:p>
      <w:pPr>
        <w:pStyle w:val="ListBullet"/>
      </w:pPr>
      <w:r>
        <w:t>Acquisition reports which configuration version it loaded.</w:t>
      </w:r>
    </w:p>
    <w:p>
      <w:pPr>
        <w:pStyle w:val="ListBullet"/>
      </w:pPr>
      <w:r>
        <w:t>Failed validation/reload leaves the last known-good version active.</w:t>
      </w:r>
    </w:p>
    <w:p>
      <w:pPr>
        <w:pStyle w:val="ListBullet"/>
      </w:pPr>
      <w:r>
        <w:t>Use PostgreSQL time partitioning for high-volume history; retention should not delete unsynced outbox events.</w:t>
      </w:r>
    </w:p>
    <w:p>
      <w:pPr>
        <w:pStyle w:val="Heading1"/>
      </w:pPr>
      <w:r>
        <w:t>10. SCADA Screens and Visual References</w:t>
      </w:r>
    </w:p>
    <w:p>
      <w:r>
        <w:t>Use the agreed dark theme: background #132238, panels #1E2D3D, header #0D1B2A, white primary text, #D6DCE5 secondary text, #29B6F6 accent, #00C853 healthy, #FFC107 warning, #FF5252 alarm, #FFCA28 solar generation, #42A5F5 grid flow, #26A69A export and #EF5350 import. Every live value should show unit and freshness/quality.</w:t>
      </w:r>
    </w:p>
    <w:p>
      <w:pPr>
        <w:pStyle w:val="Heading2"/>
      </w:pPr>
      <w:r>
        <w:t>10.1 Dashboard / Portfolio</w:t>
      </w:r>
    </w:p>
    <w:p>
      <w:pPr>
        <w:jc w:val="center"/>
      </w:pPr>
      <w:r>
        <w:drawing>
          <wp:inline xmlns:a="http://schemas.openxmlformats.org/drawingml/2006/main" xmlns:pic="http://schemas.openxmlformats.org/drawingml/2006/picture">
            <wp:extent cx="6035040" cy="3396515"/>
            <wp:docPr id="1" name="Picture 1"/>
            <wp:cNvGraphicFramePr>
              <a:graphicFrameLocks noChangeAspect="1"/>
            </wp:cNvGraphicFramePr>
            <a:graphic>
              <a:graphicData uri="http://schemas.openxmlformats.org/drawingml/2006/picture">
                <pic:pic>
                  <pic:nvPicPr>
                    <pic:cNvPr id="0" name="01_dashboard.png"/>
                    <pic:cNvPicPr/>
                  </pic:nvPicPr>
                  <pic:blipFill>
                    <a:blip r:embed="rId11"/>
                    <a:stretch>
                      <a:fillRect/>
                    </a:stretch>
                  </pic:blipFill>
                  <pic:spPr>
                    <a:xfrm>
                      <a:off x="0" y="0"/>
                      <a:ext cx="6035040" cy="3396515"/>
                    </a:xfrm>
                    <a:prstGeom prst="rect"/>
                  </pic:spPr>
                </pic:pic>
              </a:graphicData>
            </a:graphic>
          </wp:inline>
        </w:drawing>
      </w:r>
    </w:p>
    <w:p>
      <w:pPr>
        <w:jc w:val="center"/>
      </w:pPr>
      <w:r>
        <w:rPr>
          <w:i/>
          <w:sz w:val="16"/>
        </w:rPr>
        <w:t>Reference: dashboard</w:t>
      </w:r>
    </w:p>
    <w:p>
      <w:r>
        <w:t>Portfolio KPIs, plant status, live generation, energy, trend, alarm summary and last-data timestamp. Filters follow selected site/plant.</w:t>
      </w:r>
    </w:p>
    <w:p>
      <w:pPr>
        <w:pStyle w:val="Heading2"/>
      </w:pPr>
      <w:r>
        <w:t>10.2 AC Single-Line Diagram</w:t>
      </w:r>
    </w:p>
    <w:p>
      <w:pPr>
        <w:jc w:val="center"/>
      </w:pPr>
      <w:r>
        <w:drawing>
          <wp:inline xmlns:a="http://schemas.openxmlformats.org/drawingml/2006/main" xmlns:pic="http://schemas.openxmlformats.org/drawingml/2006/picture">
            <wp:extent cx="6035040" cy="3396515"/>
            <wp:docPr id="2" name="Picture 2"/>
            <wp:cNvGraphicFramePr>
              <a:graphicFrameLocks noChangeAspect="1"/>
            </wp:cNvGraphicFramePr>
            <a:graphic>
              <a:graphicData uri="http://schemas.openxmlformats.org/drawingml/2006/picture">
                <pic:pic>
                  <pic:nvPicPr>
                    <pic:cNvPr id="0" name="03_ac_sld.png"/>
                    <pic:cNvPicPr/>
                  </pic:nvPicPr>
                  <pic:blipFill>
                    <a:blip r:embed="rId12"/>
                    <a:stretch>
                      <a:fillRect/>
                    </a:stretch>
                  </pic:blipFill>
                  <pic:spPr>
                    <a:xfrm>
                      <a:off x="0" y="0"/>
                      <a:ext cx="6035040" cy="3396515"/>
                    </a:xfrm>
                    <a:prstGeom prst="rect"/>
                  </pic:spPr>
                </pic:pic>
              </a:graphicData>
            </a:graphic>
          </wp:inline>
        </w:drawing>
      </w:r>
    </w:p>
    <w:p>
      <w:pPr>
        <w:jc w:val="center"/>
      </w:pPr>
      <w:r>
        <w:rPr>
          <w:i/>
          <w:sz w:val="16"/>
        </w:rPr>
        <w:t>Reference: AC SLD</w:t>
      </w:r>
    </w:p>
    <w:p>
      <w:r>
        <w:t>Configured electrical topology with live power flow, equipment state and alarm/communication indicators. Topology must be configurable per plant.</w:t>
      </w:r>
    </w:p>
    <w:p>
      <w:pPr>
        <w:pStyle w:val="Heading2"/>
      </w:pPr>
      <w:r>
        <w:t>10.3 Trend / History</w:t>
      </w:r>
    </w:p>
    <w:p>
      <w:pPr>
        <w:jc w:val="center"/>
      </w:pPr>
      <w:r>
        <w:drawing>
          <wp:inline xmlns:a="http://schemas.openxmlformats.org/drawingml/2006/main" xmlns:pic="http://schemas.openxmlformats.org/drawingml/2006/picture">
            <wp:extent cx="6035040" cy="3396515"/>
            <wp:docPr id="3" name="Picture 3"/>
            <wp:cNvGraphicFramePr>
              <a:graphicFrameLocks noChangeAspect="1"/>
            </wp:cNvGraphicFramePr>
            <a:graphic>
              <a:graphicData uri="http://schemas.openxmlformats.org/drawingml/2006/picture">
                <pic:pic>
                  <pic:nvPicPr>
                    <pic:cNvPr id="0" name="04_trend.png"/>
                    <pic:cNvPicPr/>
                  </pic:nvPicPr>
                  <pic:blipFill>
                    <a:blip r:embed="rId13"/>
                    <a:stretch>
                      <a:fillRect/>
                    </a:stretch>
                  </pic:blipFill>
                  <pic:spPr>
                    <a:xfrm>
                      <a:off x="0" y="0"/>
                      <a:ext cx="6035040" cy="3396515"/>
                    </a:xfrm>
                    <a:prstGeom prst="rect"/>
                  </pic:spPr>
                </pic:pic>
              </a:graphicData>
            </a:graphic>
          </wp:inline>
        </w:drawing>
      </w:r>
    </w:p>
    <w:p>
      <w:pPr>
        <w:jc w:val="center"/>
      </w:pPr>
      <w:r>
        <w:rPr>
          <w:i/>
          <w:sz w:val="16"/>
        </w:rPr>
        <w:t>Reference: trend</w:t>
      </w:r>
    </w:p>
    <w:p>
      <w:r>
        <w:t>Tag selection, custom time range, multi-series charts, zoom/cursor and export. Use historian queries and downsampling.</w:t>
      </w:r>
    </w:p>
    <w:p>
      <w:pPr>
        <w:pStyle w:val="Heading2"/>
      </w:pPr>
      <w:r>
        <w:t>10.4 Inverter Data</w:t>
      </w:r>
    </w:p>
    <w:p>
      <w:pPr>
        <w:jc w:val="center"/>
      </w:pPr>
      <w:r>
        <w:drawing>
          <wp:inline xmlns:a="http://schemas.openxmlformats.org/drawingml/2006/main" xmlns:pic="http://schemas.openxmlformats.org/drawingml/2006/picture">
            <wp:extent cx="6035040" cy="3396515"/>
            <wp:docPr id="4" name="Picture 4"/>
            <wp:cNvGraphicFramePr>
              <a:graphicFrameLocks noChangeAspect="1"/>
            </wp:cNvGraphicFramePr>
            <a:graphic>
              <a:graphicData uri="http://schemas.openxmlformats.org/drawingml/2006/picture">
                <pic:pic>
                  <pic:nvPicPr>
                    <pic:cNvPr id="0" name="05_inverter_data.png"/>
                    <pic:cNvPicPr/>
                  </pic:nvPicPr>
                  <pic:blipFill>
                    <a:blip r:embed="rId14"/>
                    <a:stretch>
                      <a:fillRect/>
                    </a:stretch>
                  </pic:blipFill>
                  <pic:spPr>
                    <a:xfrm>
                      <a:off x="0" y="0"/>
                      <a:ext cx="6035040" cy="3396515"/>
                    </a:xfrm>
                    <a:prstGeom prst="rect"/>
                  </pic:spPr>
                </pic:pic>
              </a:graphicData>
            </a:graphic>
          </wp:inline>
        </w:drawing>
      </w:r>
    </w:p>
    <w:p>
      <w:pPr>
        <w:jc w:val="center"/>
      </w:pPr>
      <w:r>
        <w:rPr>
          <w:i/>
          <w:sz w:val="16"/>
        </w:rPr>
        <w:t>Reference: inverter data</w:t>
      </w:r>
    </w:p>
    <w:p>
      <w:r>
        <w:t>Display dynamically generated inverter instances, connection status, values, quality, last read and device drill-down.</w:t>
      </w:r>
    </w:p>
    <w:p>
      <w:pPr>
        <w:pStyle w:val="Heading2"/>
      </w:pPr>
      <w:r>
        <w:t>10.5 String Data</w:t>
      </w:r>
    </w:p>
    <w:p>
      <w:pPr>
        <w:jc w:val="center"/>
      </w:pPr>
      <w:r>
        <w:drawing>
          <wp:inline xmlns:a="http://schemas.openxmlformats.org/drawingml/2006/main" xmlns:pic="http://schemas.openxmlformats.org/drawingml/2006/picture">
            <wp:extent cx="6035040" cy="3396515"/>
            <wp:docPr id="5" name="Picture 5"/>
            <wp:cNvGraphicFramePr>
              <a:graphicFrameLocks noChangeAspect="1"/>
            </wp:cNvGraphicFramePr>
            <a:graphic>
              <a:graphicData uri="http://schemas.openxmlformats.org/drawingml/2006/picture">
                <pic:pic>
                  <pic:nvPicPr>
                    <pic:cNvPr id="0" name="06_string_data.png"/>
                    <pic:cNvPicPr/>
                  </pic:nvPicPr>
                  <pic:blipFill>
                    <a:blip r:embed="rId15"/>
                    <a:stretch>
                      <a:fillRect/>
                    </a:stretch>
                  </pic:blipFill>
                  <pic:spPr>
                    <a:xfrm>
                      <a:off x="0" y="0"/>
                      <a:ext cx="6035040" cy="3396515"/>
                    </a:xfrm>
                    <a:prstGeom prst="rect"/>
                  </pic:spPr>
                </pic:pic>
              </a:graphicData>
            </a:graphic>
          </wp:inline>
        </w:drawing>
      </w:r>
    </w:p>
    <w:p>
      <w:pPr>
        <w:jc w:val="center"/>
      </w:pPr>
      <w:r>
        <w:rPr>
          <w:i/>
          <w:sz w:val="16"/>
        </w:rPr>
        <w:t>Reference: string data</w:t>
      </w:r>
    </w:p>
    <w:p>
      <w:r>
        <w:t>Display string/MPPT values only when supported by the selected inverter map; do not invent unsupported values.</w:t>
      </w:r>
    </w:p>
    <w:p>
      <w:pPr>
        <w:pStyle w:val="Heading2"/>
      </w:pPr>
      <w:r>
        <w:t>10.6 Architecture / Topology</w:t>
      </w:r>
    </w:p>
    <w:p>
      <w:pPr>
        <w:jc w:val="center"/>
      </w:pPr>
      <w:r>
        <w:drawing>
          <wp:inline xmlns:a="http://schemas.openxmlformats.org/drawingml/2006/main" xmlns:pic="http://schemas.openxmlformats.org/drawingml/2006/picture">
            <wp:extent cx="6035040" cy="3396515"/>
            <wp:docPr id="6" name="Picture 6"/>
            <wp:cNvGraphicFramePr>
              <a:graphicFrameLocks noChangeAspect="1"/>
            </wp:cNvGraphicFramePr>
            <a:graphic>
              <a:graphicData uri="http://schemas.openxmlformats.org/drawingml/2006/picture">
                <pic:pic>
                  <pic:nvPicPr>
                    <pic:cNvPr id="0" name="07_architecture.png"/>
                    <pic:cNvPicPr/>
                  </pic:nvPicPr>
                  <pic:blipFill>
                    <a:blip r:embed="rId16"/>
                    <a:stretch>
                      <a:fillRect/>
                    </a:stretch>
                  </pic:blipFill>
                  <pic:spPr>
                    <a:xfrm>
                      <a:off x="0" y="0"/>
                      <a:ext cx="6035040" cy="3396515"/>
                    </a:xfrm>
                    <a:prstGeom prst="rect"/>
                  </pic:spPr>
                </pic:pic>
              </a:graphicData>
            </a:graphic>
          </wp:inline>
        </w:drawing>
      </w:r>
    </w:p>
    <w:p>
      <w:pPr>
        <w:jc w:val="center"/>
      </w:pPr>
      <w:r>
        <w:rPr>
          <w:i/>
          <w:sz w:val="16"/>
        </w:rPr>
        <w:t>Reference: architecture</w:t>
      </w:r>
    </w:p>
    <w:p>
      <w:r>
        <w:t>Site, plants, inverter groups and shared WMS/other assets. Shared assets may map to multiple plants without duplicate acquisition.</w:t>
      </w:r>
    </w:p>
    <w:p>
      <w:pPr>
        <w:pStyle w:val="Heading2"/>
      </w:pPr>
      <w:r>
        <w:t>10.7 Alarms</w:t>
      </w:r>
    </w:p>
    <w:p>
      <w:pPr>
        <w:jc w:val="center"/>
      </w:pPr>
      <w:r>
        <w:drawing>
          <wp:inline xmlns:a="http://schemas.openxmlformats.org/drawingml/2006/main" xmlns:pic="http://schemas.openxmlformats.org/drawingml/2006/picture">
            <wp:extent cx="6035040" cy="3396515"/>
            <wp:docPr id="7" name="Picture 7"/>
            <wp:cNvGraphicFramePr>
              <a:graphicFrameLocks noChangeAspect="1"/>
            </wp:cNvGraphicFramePr>
            <a:graphic>
              <a:graphicData uri="http://schemas.openxmlformats.org/drawingml/2006/picture">
                <pic:pic>
                  <pic:nvPicPr>
                    <pic:cNvPr id="0" name="08_alarms.png"/>
                    <pic:cNvPicPr/>
                  </pic:nvPicPr>
                  <pic:blipFill>
                    <a:blip r:embed="rId17"/>
                    <a:stretch>
                      <a:fillRect/>
                    </a:stretch>
                  </pic:blipFill>
                  <pic:spPr>
                    <a:xfrm>
                      <a:off x="0" y="0"/>
                      <a:ext cx="6035040" cy="3396515"/>
                    </a:xfrm>
                    <a:prstGeom prst="rect"/>
                  </pic:spPr>
                </pic:pic>
              </a:graphicData>
            </a:graphic>
          </wp:inline>
        </w:drawing>
      </w:r>
    </w:p>
    <w:p>
      <w:pPr>
        <w:jc w:val="center"/>
      </w:pPr>
      <w:r>
        <w:rPr>
          <w:i/>
          <w:sz w:val="16"/>
        </w:rPr>
        <w:t>Reference: alarms</w:t>
      </w:r>
    </w:p>
    <w:p>
      <w:r>
        <w:t>Active/acknowledged/cleared events with severity, time, asset, tag, value, message and acknowledgement identity.</w:t>
      </w:r>
    </w:p>
    <w:p>
      <w:pPr>
        <w:pStyle w:val="Heading2"/>
      </w:pPr>
      <w:r>
        <w:t>10.8 Reports / Analytics</w:t>
      </w:r>
    </w:p>
    <w:p>
      <w:pPr>
        <w:jc w:val="center"/>
      </w:pPr>
      <w:r>
        <w:drawing>
          <wp:inline xmlns:a="http://schemas.openxmlformats.org/drawingml/2006/main" xmlns:pic="http://schemas.openxmlformats.org/drawingml/2006/picture">
            <wp:extent cx="6035040" cy="3396515"/>
            <wp:docPr id="8" name="Picture 8"/>
            <wp:cNvGraphicFramePr>
              <a:graphicFrameLocks noChangeAspect="1"/>
            </wp:cNvGraphicFramePr>
            <a:graphic>
              <a:graphicData uri="http://schemas.openxmlformats.org/drawingml/2006/picture">
                <pic:pic>
                  <pic:nvPicPr>
                    <pic:cNvPr id="0" name="09_report_analytics.png"/>
                    <pic:cNvPicPr/>
                  </pic:nvPicPr>
                  <pic:blipFill>
                    <a:blip r:embed="rId18"/>
                    <a:stretch>
                      <a:fillRect/>
                    </a:stretch>
                  </pic:blipFill>
                  <pic:spPr>
                    <a:xfrm>
                      <a:off x="0" y="0"/>
                      <a:ext cx="6035040" cy="3396515"/>
                    </a:xfrm>
                    <a:prstGeom prst="rect"/>
                  </pic:spPr>
                </pic:pic>
              </a:graphicData>
            </a:graphic>
          </wp:inline>
        </w:drawing>
      </w:r>
    </w:p>
    <w:p>
      <w:pPr>
        <w:jc w:val="center"/>
      </w:pPr>
      <w:r>
        <w:rPr>
          <w:i/>
          <w:sz w:val="16"/>
        </w:rPr>
        <w:t>Reference: reports</w:t>
      </w:r>
    </w:p>
    <w:p>
      <w:r>
        <w:t>Daily, MTD, YTD and custom reports. Document formula, timezone, counter reset and missing-data handling.</w:t>
      </w:r>
    </w:p>
    <w:p>
      <w:pPr>
        <w:pStyle w:val="Heading2"/>
      </w:pPr>
      <w:r>
        <w:t>10.9 WMS</w:t>
      </w:r>
    </w:p>
    <w:p>
      <w:pPr>
        <w:jc w:val="center"/>
      </w:pPr>
      <w:r>
        <w:drawing>
          <wp:inline xmlns:a="http://schemas.openxmlformats.org/drawingml/2006/main" xmlns:pic="http://schemas.openxmlformats.org/drawingml/2006/picture">
            <wp:extent cx="6035040" cy="3396515"/>
            <wp:docPr id="9" name="Picture 9"/>
            <wp:cNvGraphicFramePr>
              <a:graphicFrameLocks noChangeAspect="1"/>
            </wp:cNvGraphicFramePr>
            <a:graphic>
              <a:graphicData uri="http://schemas.openxmlformats.org/drawingml/2006/picture">
                <pic:pic>
                  <pic:nvPicPr>
                    <pic:cNvPr id="0" name="11_original_wms.png"/>
                    <pic:cNvPicPr/>
                  </pic:nvPicPr>
                  <pic:blipFill>
                    <a:blip r:embed="rId19"/>
                    <a:stretch>
                      <a:fillRect/>
                    </a:stretch>
                  </pic:blipFill>
                  <pic:spPr>
                    <a:xfrm>
                      <a:off x="0" y="0"/>
                      <a:ext cx="6035040" cy="3396515"/>
                    </a:xfrm>
                    <a:prstGeom prst="rect"/>
                  </pic:spPr>
                </pic:pic>
              </a:graphicData>
            </a:graphic>
          </wp:inline>
        </w:drawing>
      </w:r>
    </w:p>
    <w:p>
      <w:pPr>
        <w:jc w:val="center"/>
      </w:pPr>
      <w:r>
        <w:rPr>
          <w:i/>
          <w:sz w:val="16"/>
        </w:rPr>
        <w:t>Reference: WMS</w:t>
      </w:r>
    </w:p>
    <w:p>
      <w:r>
        <w:t>Show supported irradiance, temperature, humidity, wind and rain tags from the Device Array mapping.</w:t>
      </w:r>
    </w:p>
    <w:p>
      <w:pPr>
        <w:pStyle w:val="Heading2"/>
      </w:pPr>
      <w:r>
        <w:t>10.10 Required configuration screens</w:t>
      </w:r>
    </w:p>
    <w:tbl>
      <w:tblPr>
        <w:tblStyle w:val="TableGrid"/>
        <w:tblW w:type="auto" w:w="0"/>
        <w:tblLook w:firstColumn="1" w:firstRow="1" w:lastColumn="0" w:lastRow="0" w:noHBand="0" w:noVBand="1" w:val="04A0"/>
      </w:tblPr>
      <w:tblGrid>
        <w:gridCol w:w="5141"/>
        <w:gridCol w:w="5141"/>
      </w:tblGrid>
      <w:tr>
        <w:tc>
          <w:tcPr>
            <w:tcW w:type="dxa" w:w="5141"/>
            <w:shd w:fill="132238"/>
          </w:tcPr>
          <w:p>
            <w:r>
              <w:rPr>
                <w:b/>
                <w:color w:val="FFFFFF"/>
                <w:sz w:val="16"/>
              </w:rPr>
              <w:t>Screen</w:t>
            </w:r>
          </w:p>
        </w:tc>
        <w:tc>
          <w:tcPr>
            <w:tcW w:type="dxa" w:w="5141"/>
            <w:shd w:fill="132238"/>
          </w:tcPr>
          <w:p>
            <w:r>
              <w:rPr>
                <w:b/>
                <w:color w:val="FFFFFF"/>
                <w:sz w:val="16"/>
              </w:rPr>
              <w:t>Required fields/actions</w:t>
            </w:r>
          </w:p>
        </w:tc>
      </w:tr>
      <w:tr>
        <w:tc>
          <w:tcPr>
            <w:tcW w:type="dxa" w:w="5141"/>
          </w:tcPr>
          <w:p>
            <w:pPr>
              <w:spacing w:after="0"/>
            </w:pPr>
            <w:r>
              <w:rPr>
                <w:sz w:val="16"/>
              </w:rPr>
              <w:t>Workbook Import</w:t>
            </w:r>
          </w:p>
        </w:tc>
        <w:tc>
          <w:tcPr>
            <w:tcW w:type="dxa" w:w="5141"/>
          </w:tcPr>
          <w:p>
            <w:pPr>
              <w:spacing w:after="0"/>
            </w:pPr>
            <w:r>
              <w:rPr>
                <w:sz w:val="16"/>
              </w:rPr>
              <w:t>File selection, detected sheet/profile, validation results and source hash</w:t>
            </w:r>
          </w:p>
        </w:tc>
      </w:tr>
      <w:tr>
        <w:tc>
          <w:tcPr>
            <w:tcW w:type="dxa" w:w="5141"/>
            <w:shd w:fill="F3F6F9"/>
          </w:tcPr>
          <w:p>
            <w:pPr>
              <w:spacing w:after="0"/>
            </w:pPr>
            <w:r>
              <w:rPr>
                <w:sz w:val="16"/>
              </w:rPr>
              <w:t>Inverter Port Preview</w:t>
            </w:r>
          </w:p>
        </w:tc>
        <w:tc>
          <w:tcPr>
            <w:tcW w:type="dxa" w:w="5141"/>
            <w:shd w:fill="F3F6F9"/>
          </w:tcPr>
          <w:p>
            <w:pPr>
              <w:spacing w:after="0"/>
            </w:pPr>
            <w:r>
              <w:rPr>
                <w:sz w:val="16"/>
              </w:rPr>
              <w:t>IP, count, base port, generated ports and conflicts</w:t>
            </w:r>
          </w:p>
        </w:tc>
      </w:tr>
      <w:tr>
        <w:tc>
          <w:tcPr>
            <w:tcW w:type="dxa" w:w="5141"/>
          </w:tcPr>
          <w:p>
            <w:pPr>
              <w:spacing w:after="0"/>
            </w:pPr>
            <w:r>
              <w:rPr>
                <w:sz w:val="16"/>
              </w:rPr>
              <w:t>Device Array Manager</w:t>
            </w:r>
          </w:p>
        </w:tc>
        <w:tc>
          <w:tcPr>
            <w:tcW w:type="dxa" w:w="5141"/>
          </w:tcPr>
          <w:p>
            <w:pPr>
              <w:spacing w:after="0"/>
            </w:pPr>
            <w:r>
              <w:rPr>
                <w:sz w:val="16"/>
              </w:rPr>
              <w:t>Device Name, endpoint, parameters, addresses, enable/disable and preview</w:t>
            </w:r>
          </w:p>
        </w:tc>
      </w:tr>
      <w:tr>
        <w:tc>
          <w:tcPr>
            <w:tcW w:type="dxa" w:w="5141"/>
            <w:shd w:fill="F3F6F9"/>
          </w:tcPr>
          <w:p>
            <w:pPr>
              <w:spacing w:after="0"/>
            </w:pPr>
            <w:r>
              <w:rPr>
                <w:sz w:val="16"/>
              </w:rPr>
              <w:t>Universal Tag Dictionary</w:t>
            </w:r>
          </w:p>
        </w:tc>
        <w:tc>
          <w:tcPr>
            <w:tcW w:type="dxa" w:w="5141"/>
            <w:shd w:fill="F3F6F9"/>
          </w:tcPr>
          <w:p>
            <w:pPr>
              <w:spacing w:after="0"/>
            </w:pPr>
            <w:r>
              <w:rPr>
                <w:sz w:val="16"/>
              </w:rPr>
              <w:t>Add/review/approve stable Tag Codes, names, units and categories</w:t>
            </w:r>
          </w:p>
        </w:tc>
      </w:tr>
      <w:tr>
        <w:tc>
          <w:tcPr>
            <w:tcW w:type="dxa" w:w="5141"/>
          </w:tcPr>
          <w:p>
            <w:pPr>
              <w:spacing w:after="0"/>
            </w:pPr>
            <w:r>
              <w:rPr>
                <w:sz w:val="16"/>
              </w:rPr>
              <w:t>Template/Address Map</w:t>
            </w:r>
          </w:p>
        </w:tc>
        <w:tc>
          <w:tcPr>
            <w:tcW w:type="dxa" w:w="5141"/>
          </w:tcPr>
          <w:p>
            <w:pPr>
              <w:spacing w:after="0"/>
            </w:pPr>
            <w:r>
              <w:rPr>
                <w:sz w:val="16"/>
              </w:rPr>
              <w:t>Function/register type, address, data count, type, byte/word order, scale, unit and test read</w:t>
            </w:r>
          </w:p>
        </w:tc>
      </w:tr>
      <w:tr>
        <w:tc>
          <w:tcPr>
            <w:tcW w:type="dxa" w:w="5141"/>
            <w:shd w:fill="F3F6F9"/>
          </w:tcPr>
          <w:p>
            <w:pPr>
              <w:spacing w:after="0"/>
            </w:pPr>
            <w:r>
              <w:rPr>
                <w:sz w:val="16"/>
              </w:rPr>
              <w:t>Publish Configuration</w:t>
            </w:r>
          </w:p>
        </w:tc>
        <w:tc>
          <w:tcPr>
            <w:tcW w:type="dxa" w:w="5141"/>
            <w:shd w:fill="F3F6F9"/>
          </w:tcPr>
          <w:p>
            <w:pPr>
              <w:spacing w:after="0"/>
            </w:pPr>
            <w:r>
              <w:rPr>
                <w:sz w:val="16"/>
              </w:rPr>
              <w:t>Diff, validation summary, confirmation and rollback</w:t>
            </w:r>
          </w:p>
        </w:tc>
      </w:tr>
      <w:tr>
        <w:tc>
          <w:tcPr>
            <w:tcW w:type="dxa" w:w="5141"/>
          </w:tcPr>
          <w:p>
            <w:pPr>
              <w:spacing w:after="0"/>
            </w:pPr>
            <w:r>
              <w:rPr>
                <w:sz w:val="16"/>
              </w:rPr>
              <w:t>System Health</w:t>
            </w:r>
          </w:p>
        </w:tc>
        <w:tc>
          <w:tcPr>
            <w:tcW w:type="dxa" w:w="5141"/>
          </w:tcPr>
          <w:p>
            <w:pPr>
              <w:spacing w:after="0"/>
            </w:pPr>
            <w:r>
              <w:rPr>
                <w:sz w:val="16"/>
              </w:rPr>
              <w:t>Service heartbeats, loaded version, device states, last read, sync backlog, DB/disk and retention</w:t>
            </w:r>
          </w:p>
        </w:tc>
      </w:tr>
    </w:tbl>
    <w:p/>
    <w:p>
      <w:pPr>
        <w:pStyle w:val="Heading1"/>
      </w:pPr>
      <w:r>
        <w:t>11. Error Handling, Security, Backup and Updates</w:t>
      </w:r>
    </w:p>
    <w:tbl>
      <w:tblPr>
        <w:tblStyle w:val="TableGrid"/>
        <w:tblW w:type="auto" w:w="0"/>
        <w:tblLook w:firstColumn="1" w:firstRow="1" w:lastColumn="0" w:lastRow="0" w:noHBand="0" w:noVBand="1" w:val="04A0"/>
      </w:tblPr>
      <w:tblGrid>
        <w:gridCol w:w="5141"/>
        <w:gridCol w:w="5141"/>
      </w:tblGrid>
      <w:tr>
        <w:tc>
          <w:tcPr>
            <w:tcW w:type="dxa" w:w="5141"/>
            <w:shd w:fill="132238"/>
          </w:tcPr>
          <w:p>
            <w:r>
              <w:rPr>
                <w:b/>
                <w:color w:val="FFFFFF"/>
                <w:sz w:val="16"/>
              </w:rPr>
              <w:t>Condition</w:t>
            </w:r>
          </w:p>
        </w:tc>
        <w:tc>
          <w:tcPr>
            <w:tcW w:type="dxa" w:w="5141"/>
            <w:shd w:fill="132238"/>
          </w:tcPr>
          <w:p>
            <w:r>
              <w:rPr>
                <w:b/>
                <w:color w:val="FFFFFF"/>
                <w:sz w:val="16"/>
              </w:rPr>
              <w:t>Required behavior</w:t>
            </w:r>
          </w:p>
        </w:tc>
      </w:tr>
      <w:tr>
        <w:tc>
          <w:tcPr>
            <w:tcW w:type="dxa" w:w="5141"/>
          </w:tcPr>
          <w:p>
            <w:pPr>
              <w:spacing w:after="0"/>
            </w:pPr>
            <w:r>
              <w:rPr>
                <w:sz w:val="16"/>
              </w:rPr>
              <w:t>Workbook layout mismatch</w:t>
            </w:r>
          </w:p>
        </w:tc>
        <w:tc>
          <w:tcPr>
            <w:tcW w:type="dxa" w:w="5141"/>
          </w:tcPr>
          <w:p>
            <w:pPr>
              <w:spacing w:after="0"/>
            </w:pPr>
            <w:r>
              <w:rPr>
                <w:sz w:val="16"/>
              </w:rPr>
              <w:t>Explain changed/missing fields; never guess silently.</w:t>
            </w:r>
          </w:p>
        </w:tc>
      </w:tr>
      <w:tr>
        <w:tc>
          <w:tcPr>
            <w:tcW w:type="dxa" w:w="5141"/>
            <w:shd w:fill="F3F6F9"/>
          </w:tcPr>
          <w:p>
            <w:pPr>
              <w:spacing w:after="0"/>
            </w:pPr>
            <w:r>
              <w:rPr>
                <w:sz w:val="16"/>
              </w:rPr>
              <w:t>Invalid count/port</w:t>
            </w:r>
          </w:p>
        </w:tc>
        <w:tc>
          <w:tcPr>
            <w:tcW w:type="dxa" w:w="5141"/>
            <w:shd w:fill="F3F6F9"/>
          </w:tcPr>
          <w:p>
            <w:pPr>
              <w:spacing w:after="0"/>
            </w:pPr>
            <w:r>
              <w:rPr>
                <w:sz w:val="16"/>
              </w:rPr>
              <w:t>Block publish and identify the offending field.</w:t>
            </w:r>
          </w:p>
        </w:tc>
      </w:tr>
      <w:tr>
        <w:tc>
          <w:tcPr>
            <w:tcW w:type="dxa" w:w="5141"/>
          </w:tcPr>
          <w:p>
            <w:pPr>
              <w:spacing w:after="0"/>
            </w:pPr>
            <w:r>
              <w:rPr>
                <w:sz w:val="16"/>
              </w:rPr>
              <w:t>Unreachable endpoint</w:t>
            </w:r>
          </w:p>
        </w:tc>
        <w:tc>
          <w:tcPr>
            <w:tcW w:type="dxa" w:w="5141"/>
          </w:tcPr>
          <w:p>
            <w:pPr>
              <w:spacing w:after="0"/>
            </w:pPr>
            <w:r>
              <w:rPr>
                <w:sz w:val="16"/>
              </w:rPr>
              <w:t>Show per-device result and apply agreed commissioning policy.</w:t>
            </w:r>
          </w:p>
        </w:tc>
      </w:tr>
      <w:tr>
        <w:tc>
          <w:tcPr>
            <w:tcW w:type="dxa" w:w="5141"/>
            <w:shd w:fill="F3F6F9"/>
          </w:tcPr>
          <w:p>
            <w:pPr>
              <w:spacing w:after="0"/>
            </w:pPr>
            <w:r>
              <w:rPr>
                <w:sz w:val="16"/>
              </w:rPr>
              <w:t>Unknown function/address/count</w:t>
            </w:r>
          </w:p>
        </w:tc>
        <w:tc>
          <w:tcPr>
            <w:tcW w:type="dxa" w:w="5141"/>
            <w:shd w:fill="F3F6F9"/>
          </w:tcPr>
          <w:p>
            <w:pPr>
              <w:spacing w:after="0"/>
            </w:pPr>
            <w:r>
              <w:rPr>
                <w:sz w:val="16"/>
              </w:rPr>
              <w:t>Require engineering correction before activation.</w:t>
            </w:r>
          </w:p>
        </w:tc>
      </w:tr>
      <w:tr>
        <w:tc>
          <w:tcPr>
            <w:tcW w:type="dxa" w:w="5141"/>
          </w:tcPr>
          <w:p>
            <w:pPr>
              <w:spacing w:after="0"/>
            </w:pPr>
            <w:r>
              <w:rPr>
                <w:sz w:val="16"/>
              </w:rPr>
              <w:t>Unknown data type/scaling</w:t>
            </w:r>
          </w:p>
        </w:tc>
        <w:tc>
          <w:tcPr>
            <w:tcW w:type="dxa" w:w="5141"/>
          </w:tcPr>
          <w:p>
            <w:pPr>
              <w:spacing w:after="0"/>
            </w:pPr>
            <w:r>
              <w:rPr>
                <w:sz w:val="16"/>
              </w:rPr>
              <w:t>Require approved decoding profile; never assume a type.</w:t>
            </w:r>
          </w:p>
        </w:tc>
      </w:tr>
      <w:tr>
        <w:tc>
          <w:tcPr>
            <w:tcW w:type="dxa" w:w="5141"/>
            <w:shd w:fill="F3F6F9"/>
          </w:tcPr>
          <w:p>
            <w:pPr>
              <w:spacing w:after="0"/>
            </w:pPr>
            <w:r>
              <w:rPr>
                <w:sz w:val="16"/>
              </w:rPr>
              <w:t>Database unavailable</w:t>
            </w:r>
          </w:p>
        </w:tc>
        <w:tc>
          <w:tcPr>
            <w:tcW w:type="dxa" w:w="5141"/>
            <w:shd w:fill="F3F6F9"/>
          </w:tcPr>
          <w:p>
            <w:pPr>
              <w:spacing w:after="0"/>
            </w:pPr>
            <w:r>
              <w:rPr>
                <w:sz w:val="16"/>
              </w:rPr>
              <w:t>Report unhealthy and retry; no false persistence success.</w:t>
            </w:r>
          </w:p>
        </w:tc>
      </w:tr>
      <w:tr>
        <w:tc>
          <w:tcPr>
            <w:tcW w:type="dxa" w:w="5141"/>
          </w:tcPr>
          <w:p>
            <w:pPr>
              <w:spacing w:after="0"/>
            </w:pPr>
            <w:r>
              <w:rPr>
                <w:sz w:val="16"/>
              </w:rPr>
              <w:t>Central API unavailable</w:t>
            </w:r>
          </w:p>
        </w:tc>
        <w:tc>
          <w:tcPr>
            <w:tcW w:type="dxa" w:w="5141"/>
          </w:tcPr>
          <w:p>
            <w:pPr>
              <w:spacing w:after="0"/>
            </w:pPr>
            <w:r>
              <w:rPr>
                <w:sz w:val="16"/>
              </w:rPr>
              <w:t>Retain pending outbox and retry with backoff.</w:t>
            </w:r>
          </w:p>
        </w:tc>
      </w:tr>
      <w:tr>
        <w:tc>
          <w:tcPr>
            <w:tcW w:type="dxa" w:w="5141"/>
            <w:shd w:fill="F3F6F9"/>
          </w:tcPr>
          <w:p>
            <w:pPr>
              <w:spacing w:after="0"/>
            </w:pPr>
            <w:r>
              <w:rPr>
                <w:sz w:val="16"/>
              </w:rPr>
              <w:t>Disk nearly full</w:t>
            </w:r>
          </w:p>
        </w:tc>
        <w:tc>
          <w:tcPr>
            <w:tcW w:type="dxa" w:w="5141"/>
            <w:shd w:fill="F3F6F9"/>
          </w:tcPr>
          <w:p>
            <w:pPr>
              <w:spacing w:after="0"/>
            </w:pPr>
            <w:r>
              <w:rPr>
                <w:sz w:val="16"/>
              </w:rPr>
              <w:t>Raise critical health alarm and follow documented safe degradation.</w:t>
            </w:r>
          </w:p>
        </w:tc>
      </w:tr>
    </w:tbl>
    <w:p/>
    <w:p>
      <w:pPr>
        <w:pStyle w:val="ListBullet"/>
      </w:pPr>
      <w:r>
        <w:t>Use least-privilege Windows service accounts and PostgreSQL roles.</w:t>
      </w:r>
    </w:p>
    <w:p>
      <w:pPr>
        <w:pStyle w:val="ListBullet"/>
      </w:pPr>
      <w:r>
        <w:t>Enforce RBAC server-side; protect secrets and validate TLS.</w:t>
      </w:r>
    </w:p>
    <w:p>
      <w:pPr>
        <w:pStyle w:val="ListBullet"/>
      </w:pPr>
      <w:r>
        <w:t>Audit workbook imports, publishing/rollback, user changes and alarm acknowledgement.</w:t>
      </w:r>
    </w:p>
    <w:p>
      <w:pPr>
        <w:pStyle w:val="ListBullet"/>
      </w:pPr>
      <w:r>
        <w:t>Keep rotating structured logs; never log credentials/tokens.</w:t>
      </w:r>
    </w:p>
    <w:p>
      <w:pPr>
        <w:pStyle w:val="ListBullet"/>
      </w:pPr>
      <w:r>
        <w:t>Default local historian retention is 365 days; partition by time at scale.</w:t>
      </w:r>
    </w:p>
    <w:p>
      <w:pPr>
        <w:pStyle w:val="ListBullet"/>
      </w:pPr>
      <w:r>
        <w:t>Do not delete unsynced sync events solely because historian data is old.</w:t>
      </w:r>
    </w:p>
    <w:p>
      <w:pPr>
        <w:pStyle w:val="ListBullet"/>
      </w:pPr>
      <w:r>
        <w:t>Back up configuration/database and test restore; use versioned DB migrations for upgrades.</w:t>
      </w:r>
    </w:p>
    <w:p>
      <w:pPr>
        <w:pStyle w:val="Heading1"/>
      </w:pPr>
      <w:r>
        <w:t>12. API and Service Contract</w:t>
      </w:r>
    </w:p>
    <w:tbl>
      <w:tblPr>
        <w:tblStyle w:val="TableGrid"/>
        <w:tblW w:type="auto" w:w="0"/>
        <w:tblLook w:firstColumn="1" w:firstRow="1" w:lastColumn="0" w:lastRow="0" w:noHBand="0" w:noVBand="1" w:val="04A0"/>
      </w:tblPr>
      <w:tblGrid>
        <w:gridCol w:w="3427"/>
        <w:gridCol w:w="3427"/>
        <w:gridCol w:w="3427"/>
      </w:tblGrid>
      <w:tr>
        <w:tc>
          <w:tcPr>
            <w:tcW w:type="dxa" w:w="3427"/>
            <w:shd w:fill="132238"/>
          </w:tcPr>
          <w:p>
            <w:r>
              <w:rPr>
                <w:b/>
                <w:color w:val="FFFFFF"/>
                <w:sz w:val="16"/>
              </w:rPr>
              <w:t>Area</w:t>
            </w:r>
          </w:p>
        </w:tc>
        <w:tc>
          <w:tcPr>
            <w:tcW w:type="dxa" w:w="3427"/>
            <w:shd w:fill="132238"/>
          </w:tcPr>
          <w:p>
            <w:r>
              <w:rPr>
                <w:b/>
                <w:color w:val="FFFFFF"/>
                <w:sz w:val="16"/>
              </w:rPr>
              <w:t>Suggested endpoint</w:t>
            </w:r>
          </w:p>
        </w:tc>
        <w:tc>
          <w:tcPr>
            <w:tcW w:type="dxa" w:w="3427"/>
            <w:shd w:fill="132238"/>
          </w:tcPr>
          <w:p>
            <w:r>
              <w:rPr>
                <w:b/>
                <w:color w:val="FFFFFF"/>
                <w:sz w:val="16"/>
              </w:rPr>
              <w:t>Purpose</w:t>
            </w:r>
          </w:p>
        </w:tc>
      </w:tr>
      <w:tr>
        <w:tc>
          <w:tcPr>
            <w:tcW w:type="dxa" w:w="3427"/>
          </w:tcPr>
          <w:p>
            <w:pPr>
              <w:spacing w:after="0"/>
            </w:pPr>
            <w:r>
              <w:rPr>
                <w:sz w:val="16"/>
              </w:rPr>
              <w:t>Workbook import</w:t>
            </w:r>
          </w:p>
        </w:tc>
        <w:tc>
          <w:tcPr>
            <w:tcW w:type="dxa" w:w="3427"/>
          </w:tcPr>
          <w:p>
            <w:pPr>
              <w:spacing w:after="0"/>
            </w:pPr>
            <w:r>
              <w:rPr>
                <w:sz w:val="16"/>
              </w:rPr>
              <w:t>POST /api/v1/config/import-workbook</w:t>
            </w:r>
          </w:p>
        </w:tc>
        <w:tc>
          <w:tcPr>
            <w:tcW w:type="dxa" w:w="3427"/>
          </w:tcPr>
          <w:p>
            <w:pPr>
              <w:spacing w:after="0"/>
            </w:pPr>
            <w:r>
              <w:rPr>
                <w:sz w:val="16"/>
              </w:rPr>
              <w:t>Parse workbook into draft; return warnings and preview ID</w:t>
            </w:r>
          </w:p>
        </w:tc>
      </w:tr>
      <w:tr>
        <w:tc>
          <w:tcPr>
            <w:tcW w:type="dxa" w:w="3427"/>
            <w:shd w:fill="F3F6F9"/>
          </w:tcPr>
          <w:p>
            <w:pPr>
              <w:spacing w:after="0"/>
            </w:pPr>
            <w:r>
              <w:rPr>
                <w:sz w:val="16"/>
              </w:rPr>
              <w:t>Import preview</w:t>
            </w:r>
          </w:p>
        </w:tc>
        <w:tc>
          <w:tcPr>
            <w:tcW w:type="dxa" w:w="3427"/>
            <w:shd w:fill="F3F6F9"/>
          </w:tcPr>
          <w:p>
            <w:pPr>
              <w:spacing w:after="0"/>
            </w:pPr>
            <w:r>
              <w:rPr>
                <w:sz w:val="16"/>
              </w:rPr>
              <w:t>GET /api/v1/config/imports/{id}/preview</w:t>
            </w:r>
          </w:p>
        </w:tc>
        <w:tc>
          <w:tcPr>
            <w:tcW w:type="dxa" w:w="3427"/>
            <w:shd w:fill="F3F6F9"/>
          </w:tcPr>
          <w:p>
            <w:pPr>
              <w:spacing w:after="0"/>
            </w:pPr>
            <w:r>
              <w:rPr>
                <w:sz w:val="16"/>
              </w:rPr>
              <w:t>Show endpoints, Device Array groups and generated tags</w:t>
            </w:r>
          </w:p>
        </w:tc>
      </w:tr>
      <w:tr>
        <w:tc>
          <w:tcPr>
            <w:tcW w:type="dxa" w:w="3427"/>
          </w:tcPr>
          <w:p>
            <w:pPr>
              <w:spacing w:after="0"/>
            </w:pPr>
            <w:r>
              <w:rPr>
                <w:sz w:val="16"/>
              </w:rPr>
              <w:t>Connection test</w:t>
            </w:r>
          </w:p>
        </w:tc>
        <w:tc>
          <w:tcPr>
            <w:tcW w:type="dxa" w:w="3427"/>
          </w:tcPr>
          <w:p>
            <w:pPr>
              <w:spacing w:after="0"/>
            </w:pPr>
            <w:r>
              <w:rPr>
                <w:sz w:val="16"/>
              </w:rPr>
              <w:t>POST /api/v1/assets/{id}/test-connection</w:t>
            </w:r>
          </w:p>
        </w:tc>
        <w:tc>
          <w:tcPr>
            <w:tcW w:type="dxa" w:w="3427"/>
          </w:tcPr>
          <w:p>
            <w:pPr>
              <w:spacing w:after="0"/>
            </w:pPr>
            <w:r>
              <w:rPr>
                <w:sz w:val="16"/>
              </w:rPr>
              <w:t>Test endpoint</w:t>
            </w:r>
          </w:p>
        </w:tc>
      </w:tr>
      <w:tr>
        <w:tc>
          <w:tcPr>
            <w:tcW w:type="dxa" w:w="3427"/>
            <w:shd w:fill="F3F6F9"/>
          </w:tcPr>
          <w:p>
            <w:pPr>
              <w:spacing w:after="0"/>
            </w:pPr>
            <w:r>
              <w:rPr>
                <w:sz w:val="16"/>
              </w:rPr>
              <w:t>Tag test</w:t>
            </w:r>
          </w:p>
        </w:tc>
        <w:tc>
          <w:tcPr>
            <w:tcW w:type="dxa" w:w="3427"/>
            <w:shd w:fill="F3F6F9"/>
          </w:tcPr>
          <w:p>
            <w:pPr>
              <w:spacing w:after="0"/>
            </w:pPr>
            <w:r>
              <w:rPr>
                <w:sz w:val="16"/>
              </w:rPr>
              <w:t>POST /api/v1/assets/{id}/test-read</w:t>
            </w:r>
          </w:p>
        </w:tc>
        <w:tc>
          <w:tcPr>
            <w:tcW w:type="dxa" w:w="3427"/>
            <w:shd w:fill="F3F6F9"/>
          </w:tcPr>
          <w:p>
            <w:pPr>
              <w:spacing w:after="0"/>
            </w:pPr>
            <w:r>
              <w:rPr>
                <w:sz w:val="16"/>
              </w:rPr>
              <w:t>Return raw registers, decoded value, quality and timestamp</w:t>
            </w:r>
          </w:p>
        </w:tc>
      </w:tr>
      <w:tr>
        <w:tc>
          <w:tcPr>
            <w:tcW w:type="dxa" w:w="3427"/>
          </w:tcPr>
          <w:p>
            <w:pPr>
              <w:spacing w:after="0"/>
            </w:pPr>
            <w:r>
              <w:rPr>
                <w:sz w:val="16"/>
              </w:rPr>
              <w:t>Validation</w:t>
            </w:r>
          </w:p>
        </w:tc>
        <w:tc>
          <w:tcPr>
            <w:tcW w:type="dxa" w:w="3427"/>
          </w:tcPr>
          <w:p>
            <w:pPr>
              <w:spacing w:after="0"/>
            </w:pPr>
            <w:r>
              <w:rPr>
                <w:sz w:val="16"/>
              </w:rPr>
              <w:t>POST /api/v1/config/versions/{id}/validate</w:t>
            </w:r>
          </w:p>
        </w:tc>
        <w:tc>
          <w:tcPr>
            <w:tcW w:type="dxa" w:w="3427"/>
          </w:tcPr>
          <w:p>
            <w:pPr>
              <w:spacing w:after="0"/>
            </w:pPr>
            <w:r>
              <w:rPr>
                <w:sz w:val="16"/>
              </w:rPr>
              <w:t>Validate draft</w:t>
            </w:r>
          </w:p>
        </w:tc>
      </w:tr>
      <w:tr>
        <w:tc>
          <w:tcPr>
            <w:tcW w:type="dxa" w:w="3427"/>
            <w:shd w:fill="F3F6F9"/>
          </w:tcPr>
          <w:p>
            <w:pPr>
              <w:spacing w:after="0"/>
            </w:pPr>
            <w:r>
              <w:rPr>
                <w:sz w:val="16"/>
              </w:rPr>
              <w:t>Publish</w:t>
            </w:r>
          </w:p>
        </w:tc>
        <w:tc>
          <w:tcPr>
            <w:tcW w:type="dxa" w:w="3427"/>
            <w:shd w:fill="F3F6F9"/>
          </w:tcPr>
          <w:p>
            <w:pPr>
              <w:spacing w:after="0"/>
            </w:pPr>
            <w:r>
              <w:rPr>
                <w:sz w:val="16"/>
              </w:rPr>
              <w:t>POST /api/v1/config/versions/{id}/publish</w:t>
            </w:r>
          </w:p>
        </w:tc>
        <w:tc>
          <w:tcPr>
            <w:tcW w:type="dxa" w:w="3427"/>
            <w:shd w:fill="F3F6F9"/>
          </w:tcPr>
          <w:p>
            <w:pPr>
              <w:spacing w:after="0"/>
            </w:pPr>
            <w:r>
              <w:rPr>
                <w:sz w:val="16"/>
              </w:rPr>
              <w:t>Activate immutable version</w:t>
            </w:r>
          </w:p>
        </w:tc>
      </w:tr>
      <w:tr>
        <w:tc>
          <w:tcPr>
            <w:tcW w:type="dxa" w:w="3427"/>
          </w:tcPr>
          <w:p>
            <w:pPr>
              <w:spacing w:after="0"/>
            </w:pPr>
            <w:r>
              <w:rPr>
                <w:sz w:val="16"/>
              </w:rPr>
              <w:t>Rollback</w:t>
            </w:r>
          </w:p>
        </w:tc>
        <w:tc>
          <w:tcPr>
            <w:tcW w:type="dxa" w:w="3427"/>
          </w:tcPr>
          <w:p>
            <w:pPr>
              <w:spacing w:after="0"/>
            </w:pPr>
            <w:r>
              <w:rPr>
                <w:sz w:val="16"/>
              </w:rPr>
              <w:t>POST /api/v1/config/rollback</w:t>
            </w:r>
          </w:p>
        </w:tc>
        <w:tc>
          <w:tcPr>
            <w:tcW w:type="dxa" w:w="3427"/>
          </w:tcPr>
          <w:p>
            <w:pPr>
              <w:spacing w:after="0"/>
            </w:pPr>
            <w:r>
              <w:rPr>
                <w:sz w:val="16"/>
              </w:rPr>
              <w:t>Reactivate known-good version</w:t>
            </w:r>
          </w:p>
        </w:tc>
      </w:tr>
      <w:tr>
        <w:tc>
          <w:tcPr>
            <w:tcW w:type="dxa" w:w="3427"/>
            <w:shd w:fill="F3F6F9"/>
          </w:tcPr>
          <w:p>
            <w:pPr>
              <w:spacing w:after="0"/>
            </w:pPr>
            <w:r>
              <w:rPr>
                <w:sz w:val="16"/>
              </w:rPr>
              <w:t>Live/history</w:t>
            </w:r>
          </w:p>
        </w:tc>
        <w:tc>
          <w:tcPr>
            <w:tcW w:type="dxa" w:w="3427"/>
            <w:shd w:fill="F3F6F9"/>
          </w:tcPr>
          <w:p>
            <w:pPr>
              <w:spacing w:after="0"/>
            </w:pPr>
            <w:r>
              <w:rPr>
                <w:sz w:val="16"/>
              </w:rPr>
              <w:t>GET /api/v1/current-values; GET /api/v1/history; WebSocket /ws/live</w:t>
            </w:r>
          </w:p>
        </w:tc>
        <w:tc>
          <w:tcPr>
            <w:tcW w:type="dxa" w:w="3427"/>
            <w:shd w:fill="F3F6F9"/>
          </w:tcPr>
          <w:p>
            <w:pPr>
              <w:spacing w:after="0"/>
            </w:pPr>
            <w:r>
              <w:rPr>
                <w:sz w:val="16"/>
              </w:rPr>
              <w:t>Dashboard and trends</w:t>
            </w:r>
          </w:p>
        </w:tc>
      </w:tr>
      <w:tr>
        <w:tc>
          <w:tcPr>
            <w:tcW w:type="dxa" w:w="3427"/>
          </w:tcPr>
          <w:p>
            <w:pPr>
              <w:spacing w:after="0"/>
            </w:pPr>
            <w:r>
              <w:rPr>
                <w:sz w:val="16"/>
              </w:rPr>
              <w:t>Health/sync</w:t>
            </w:r>
          </w:p>
        </w:tc>
        <w:tc>
          <w:tcPr>
            <w:tcW w:type="dxa" w:w="3427"/>
          </w:tcPr>
          <w:p>
            <w:pPr>
              <w:spacing w:after="0"/>
            </w:pPr>
            <w:r>
              <w:rPr>
                <w:sz w:val="16"/>
              </w:rPr>
              <w:t>GET /api/v1/system/health; /services; /sync/status</w:t>
            </w:r>
          </w:p>
        </w:tc>
        <w:tc>
          <w:tcPr>
            <w:tcW w:type="dxa" w:w="3427"/>
          </w:tcPr>
          <w:p>
            <w:pPr>
              <w:spacing w:after="0"/>
            </w:pPr>
            <w:r>
              <w:rPr>
                <w:sz w:val="16"/>
              </w:rPr>
              <w:t>Runtime monitoring</w:t>
            </w:r>
          </w:p>
        </w:tc>
      </w:tr>
    </w:tbl>
    <w:p/>
    <w:p>
      <w:r>
        <w:t>These are proposed contracts for implementation, not claims that the APIs already exist.</w:t>
      </w:r>
    </w:p>
    <w:p>
      <w:pPr>
        <w:pStyle w:val="Heading1"/>
      </w:pPr>
      <w:r>
        <w:t>13. Commissioning and Acceptance Checklist</w:t>
      </w:r>
    </w:p>
    <w:tbl>
      <w:tblPr>
        <w:tblStyle w:val="TableGrid"/>
        <w:tblW w:type="auto" w:w="0"/>
        <w:tblLook w:firstColumn="1" w:firstRow="1" w:lastColumn="0" w:lastRow="0" w:noHBand="0" w:noVBand="1" w:val="04A0"/>
      </w:tblPr>
      <w:tblGrid>
        <w:gridCol w:w="5141"/>
        <w:gridCol w:w="5141"/>
      </w:tblGrid>
      <w:tr>
        <w:tc>
          <w:tcPr>
            <w:tcW w:type="dxa" w:w="5141"/>
            <w:shd w:fill="132238"/>
          </w:tcPr>
          <w:p>
            <w:r>
              <w:rPr>
                <w:b/>
                <w:color w:val="FFFFFF"/>
                <w:sz w:val="16"/>
              </w:rPr>
              <w:t>Test</w:t>
            </w:r>
          </w:p>
        </w:tc>
        <w:tc>
          <w:tcPr>
            <w:tcW w:type="dxa" w:w="5141"/>
            <w:shd w:fill="132238"/>
          </w:tcPr>
          <w:p>
            <w:r>
              <w:rPr>
                <w:b/>
                <w:color w:val="FFFFFF"/>
                <w:sz w:val="16"/>
              </w:rPr>
              <w:t>Acceptance criteria</w:t>
            </w:r>
          </w:p>
        </w:tc>
      </w:tr>
      <w:tr>
        <w:tc>
          <w:tcPr>
            <w:tcW w:type="dxa" w:w="5141"/>
          </w:tcPr>
          <w:p>
            <w:pPr>
              <w:spacing w:after="0"/>
            </w:pPr>
            <w:r>
              <w:rPr>
                <w:sz w:val="16"/>
              </w:rPr>
              <w:t>Workbook import</w:t>
            </w:r>
          </w:p>
        </w:tc>
        <w:tc>
          <w:tcPr>
            <w:tcW w:type="dxa" w:w="5141"/>
          </w:tcPr>
          <w:p>
            <w:pPr>
              <w:spacing w:after="0"/>
            </w:pPr>
            <w:r>
              <w:rPr>
                <w:sz w:val="16"/>
              </w:rPr>
              <w:t>Approved workbook imports without manual restructuring.</w:t>
            </w:r>
          </w:p>
        </w:tc>
      </w:tr>
      <w:tr>
        <w:tc>
          <w:tcPr>
            <w:tcW w:type="dxa" w:w="5141"/>
            <w:shd w:fill="F3F6F9"/>
          </w:tcPr>
          <w:p>
            <w:pPr>
              <w:spacing w:after="0"/>
            </w:pPr>
            <w:r>
              <w:rPr>
                <w:sz w:val="16"/>
              </w:rPr>
              <w:t>Site metadata</w:t>
            </w:r>
          </w:p>
        </w:tc>
        <w:tc>
          <w:tcPr>
            <w:tcW w:type="dxa" w:w="5141"/>
            <w:shd w:fill="F3F6F9"/>
          </w:tcPr>
          <w:p>
            <w:pPr>
              <w:spacing w:after="0"/>
            </w:pPr>
            <w:r>
              <w:rPr>
                <w:sz w:val="16"/>
              </w:rPr>
              <w:t>Customer, site, capacity, make/count and function are parsed and shown for confirmation.</w:t>
            </w:r>
          </w:p>
        </w:tc>
      </w:tr>
      <w:tr>
        <w:tc>
          <w:tcPr>
            <w:tcW w:type="dxa" w:w="5141"/>
          </w:tcPr>
          <w:p>
            <w:pPr>
              <w:spacing w:after="0"/>
            </w:pPr>
            <w:r>
              <w:rPr>
                <w:sz w:val="16"/>
              </w:rPr>
              <w:t>Port generation</w:t>
            </w:r>
          </w:p>
        </w:tc>
        <w:tc>
          <w:tcPr>
            <w:tcW w:type="dxa" w:w="5141"/>
          </w:tcPr>
          <w:p>
            <w:pPr>
              <w:spacing w:after="0"/>
            </w:pPr>
            <w:r>
              <w:rPr>
                <w:sz w:val="16"/>
              </w:rPr>
              <w:t>8 devices with base 501 produce 501–508; 10 produce 501–510; Device Array follows explicit/configured rule.</w:t>
            </w:r>
          </w:p>
        </w:tc>
      </w:tr>
      <w:tr>
        <w:tc>
          <w:tcPr>
            <w:tcW w:type="dxa" w:w="5141"/>
            <w:shd w:fill="F3F6F9"/>
          </w:tcPr>
          <w:p>
            <w:pPr>
              <w:spacing w:after="0"/>
            </w:pPr>
            <w:r>
              <w:rPr>
                <w:sz w:val="16"/>
              </w:rPr>
              <w:t>IP/port reality</w:t>
            </w:r>
          </w:p>
        </w:tc>
        <w:tc>
          <w:tcPr>
            <w:tcW w:type="dxa" w:w="5141"/>
            <w:shd w:fill="F3F6F9"/>
          </w:tcPr>
          <w:p>
            <w:pPr>
              <w:spacing w:after="0"/>
            </w:pPr>
            <w:r>
              <w:rPr>
                <w:sz w:val="16"/>
              </w:rPr>
              <w:t>Each generated endpoint is tested; port pattern matches actual gateway routing.</w:t>
            </w:r>
          </w:p>
        </w:tc>
      </w:tr>
      <w:tr>
        <w:tc>
          <w:tcPr>
            <w:tcW w:type="dxa" w:w="5141"/>
          </w:tcPr>
          <w:p>
            <w:pPr>
              <w:spacing w:after="0"/>
            </w:pPr>
            <w:r>
              <w:rPr>
                <w:sz w:val="16"/>
              </w:rPr>
              <w:t>Device Array grouping</w:t>
            </w:r>
          </w:p>
        </w:tc>
        <w:tc>
          <w:tcPr>
            <w:tcW w:type="dxa" w:w="5141"/>
          </w:tcPr>
          <w:p>
            <w:pPr>
              <w:spacing w:after="0"/>
            </w:pPr>
            <w:r>
              <w:rPr>
                <w:sz w:val="16"/>
              </w:rPr>
              <w:t>WMS, Trafo, TVM and Annunciator rows are grouped correctly.</w:t>
            </w:r>
          </w:p>
        </w:tc>
      </w:tr>
      <w:tr>
        <w:tc>
          <w:tcPr>
            <w:tcW w:type="dxa" w:w="5141"/>
            <w:shd w:fill="F3F6F9"/>
          </w:tcPr>
          <w:p>
            <w:pPr>
              <w:spacing w:after="0"/>
            </w:pPr>
            <w:r>
              <w:rPr>
                <w:sz w:val="16"/>
              </w:rPr>
              <w:t>Address preservation</w:t>
            </w:r>
          </w:p>
        </w:tc>
        <w:tc>
          <w:tcPr>
            <w:tcW w:type="dxa" w:w="5141"/>
            <w:shd w:fill="F3F6F9"/>
          </w:tcPr>
          <w:p>
            <w:pPr>
              <w:spacing w:after="0"/>
            </w:pPr>
            <w:r>
              <w:rPr>
                <w:sz w:val="16"/>
              </w:rPr>
              <w:t>Workbook values are not silently shifted or transformed.</w:t>
            </w:r>
          </w:p>
        </w:tc>
      </w:tr>
      <w:tr>
        <w:tc>
          <w:tcPr>
            <w:tcW w:type="dxa" w:w="5141"/>
          </w:tcPr>
          <w:p>
            <w:pPr>
              <w:spacing w:after="0"/>
            </w:pPr>
            <w:r>
              <w:rPr>
                <w:sz w:val="16"/>
              </w:rPr>
              <w:t>Data Count</w:t>
            </w:r>
          </w:p>
        </w:tc>
        <w:tc>
          <w:tcPr>
            <w:tcW w:type="dxa" w:w="5141"/>
          </w:tcPr>
          <w:p>
            <w:pPr>
              <w:spacing w:after="0"/>
            </w:pPr>
            <w:r>
              <w:rPr>
                <w:sz w:val="16"/>
              </w:rPr>
              <w:t>Meaning is confirmed and protocol/device limits validated.</w:t>
            </w:r>
          </w:p>
        </w:tc>
      </w:tr>
      <w:tr>
        <w:tc>
          <w:tcPr>
            <w:tcW w:type="dxa" w:w="5141"/>
            <w:shd w:fill="F3F6F9"/>
          </w:tcPr>
          <w:p>
            <w:pPr>
              <w:spacing w:after="0"/>
            </w:pPr>
            <w:r>
              <w:rPr>
                <w:sz w:val="16"/>
              </w:rPr>
              <w:t>Decoder validation</w:t>
            </w:r>
          </w:p>
        </w:tc>
        <w:tc>
          <w:tcPr>
            <w:tcW w:type="dxa" w:w="5141"/>
            <w:shd w:fill="F3F6F9"/>
          </w:tcPr>
          <w:p>
            <w:pPr>
              <w:spacing w:after="0"/>
            </w:pPr>
            <w:r>
              <w:rPr>
                <w:sz w:val="16"/>
              </w:rPr>
              <w:t>Type, byte/word order, scaling and units are tested against known values.</w:t>
            </w:r>
          </w:p>
        </w:tc>
      </w:tr>
      <w:tr>
        <w:tc>
          <w:tcPr>
            <w:tcW w:type="dxa" w:w="5141"/>
          </w:tcPr>
          <w:p>
            <w:pPr>
              <w:spacing w:after="0"/>
            </w:pPr>
            <w:r>
              <w:rPr>
                <w:sz w:val="16"/>
              </w:rPr>
              <w:t>Version safety</w:t>
            </w:r>
          </w:p>
        </w:tc>
        <w:tc>
          <w:tcPr>
            <w:tcW w:type="dxa" w:w="5141"/>
          </w:tcPr>
          <w:p>
            <w:pPr>
              <w:spacing w:after="0"/>
            </w:pPr>
            <w:r>
              <w:rPr>
                <w:sz w:val="16"/>
              </w:rPr>
              <w:t>Failed drafts cannot replace active configuration; rollback is audited.</w:t>
            </w:r>
          </w:p>
        </w:tc>
      </w:tr>
      <w:tr>
        <w:tc>
          <w:tcPr>
            <w:tcW w:type="dxa" w:w="5141"/>
            <w:shd w:fill="F3F6F9"/>
          </w:tcPr>
          <w:p>
            <w:pPr>
              <w:spacing w:after="0"/>
            </w:pPr>
            <w:r>
              <w:rPr>
                <w:sz w:val="16"/>
              </w:rPr>
              <w:t>24×7 runtime</w:t>
            </w:r>
          </w:p>
        </w:tc>
        <w:tc>
          <w:tcPr>
            <w:tcW w:type="dxa" w:w="5141"/>
            <w:shd w:fill="F3F6F9"/>
          </w:tcPr>
          <w:p>
            <w:pPr>
              <w:spacing w:after="0"/>
            </w:pPr>
            <w:r>
              <w:rPr>
                <w:sz w:val="16"/>
              </w:rPr>
              <w:t>Closing browser does not stop acquisition; reboot restarts services.</w:t>
            </w:r>
          </w:p>
        </w:tc>
      </w:tr>
      <w:tr>
        <w:tc>
          <w:tcPr>
            <w:tcW w:type="dxa" w:w="5141"/>
          </w:tcPr>
          <w:p>
            <w:pPr>
              <w:spacing w:after="0"/>
            </w:pPr>
            <w:r>
              <w:rPr>
                <w:sz w:val="16"/>
              </w:rPr>
              <w:t>Offline sync</w:t>
            </w:r>
          </w:p>
        </w:tc>
        <w:tc>
          <w:tcPr>
            <w:tcW w:type="dxa" w:w="5141"/>
          </w:tcPr>
          <w:p>
            <w:pPr>
              <w:spacing w:after="0"/>
            </w:pPr>
            <w:r>
              <w:rPr>
                <w:sz w:val="16"/>
              </w:rPr>
              <w:t>Local data persists during central outage and later sync is idempotent.</w:t>
            </w:r>
          </w:p>
        </w:tc>
      </w:tr>
      <w:tr>
        <w:tc>
          <w:tcPr>
            <w:tcW w:type="dxa" w:w="5141"/>
            <w:shd w:fill="F3F6F9"/>
          </w:tcPr>
          <w:p>
            <w:pPr>
              <w:spacing w:after="0"/>
            </w:pPr>
            <w:r>
              <w:rPr>
                <w:sz w:val="16"/>
              </w:rPr>
              <w:t>Retention/backup</w:t>
            </w:r>
          </w:p>
        </w:tc>
        <w:tc>
          <w:tcPr>
            <w:tcW w:type="dxa" w:w="5141"/>
            <w:shd w:fill="F3F6F9"/>
          </w:tcPr>
          <w:p>
            <w:pPr>
              <w:spacing w:after="0"/>
            </w:pPr>
            <w:r>
              <w:rPr>
                <w:sz w:val="16"/>
              </w:rPr>
              <w:t>Retention protects unsynced queue; database restore is tested.</w:t>
            </w:r>
          </w:p>
        </w:tc>
      </w:tr>
      <w:tr>
        <w:tc>
          <w:tcPr>
            <w:tcW w:type="dxa" w:w="5141"/>
          </w:tcPr>
          <w:p>
            <w:pPr>
              <w:spacing w:after="0"/>
            </w:pPr>
            <w:r>
              <w:rPr>
                <w:sz w:val="16"/>
              </w:rPr>
              <w:t>Screen acceptance</w:t>
            </w:r>
          </w:p>
        </w:tc>
        <w:tc>
          <w:tcPr>
            <w:tcW w:type="dxa" w:w="5141"/>
          </w:tcPr>
          <w:p>
            <w:pPr>
              <w:spacing w:after="0"/>
            </w:pPr>
            <w:r>
              <w:rPr>
                <w:sz w:val="16"/>
              </w:rPr>
              <w:t>Supplied screen references guide implementation; all live values are API-driven.</w:t>
            </w:r>
          </w:p>
        </w:tc>
      </w:tr>
    </w:tbl>
    <w:p/>
    <w:p>
      <w:pPr>
        <w:pStyle w:val="Heading1"/>
      </w:pPr>
      <w:r>
        <w:t>14. Decisions Requiring Engineering Confirmation</w:t>
      </w:r>
    </w:p>
    <w:tbl>
      <w:tblPr>
        <w:tblStyle w:val="TableGrid"/>
        <w:tblW w:type="auto" w:w="0"/>
        <w:tblLook w:firstColumn="1" w:firstRow="1" w:lastColumn="0" w:lastRow="0" w:noHBand="0" w:noVBand="1" w:val="04A0"/>
      </w:tblPr>
      <w:tblGrid>
        <w:gridCol w:w="3427"/>
        <w:gridCol w:w="3427"/>
        <w:gridCol w:w="3427"/>
      </w:tblGrid>
      <w:tr>
        <w:tc>
          <w:tcPr>
            <w:tcW w:type="dxa" w:w="3427"/>
            <w:shd w:fill="132238"/>
          </w:tcPr>
          <w:p>
            <w:r>
              <w:rPr>
                <w:b/>
                <w:color w:val="FFFFFF"/>
                <w:sz w:val="16"/>
              </w:rPr>
              <w:t>Decision</w:t>
            </w:r>
          </w:p>
        </w:tc>
        <w:tc>
          <w:tcPr>
            <w:tcW w:type="dxa" w:w="3427"/>
            <w:shd w:fill="132238"/>
          </w:tcPr>
          <w:p>
            <w:r>
              <w:rPr>
                <w:b/>
                <w:color w:val="FFFFFF"/>
                <w:sz w:val="16"/>
              </w:rPr>
              <w:t>Why</w:t>
            </w:r>
          </w:p>
        </w:tc>
        <w:tc>
          <w:tcPr>
            <w:tcW w:type="dxa" w:w="3427"/>
            <w:shd w:fill="132238"/>
          </w:tcPr>
          <w:p>
            <w:r>
              <w:rPr>
                <w:b/>
                <w:color w:val="FFFFFF"/>
                <w:sz w:val="16"/>
              </w:rPr>
              <w:t>Required action</w:t>
            </w:r>
          </w:p>
        </w:tc>
      </w:tr>
      <w:tr>
        <w:tc>
          <w:tcPr>
            <w:tcW w:type="dxa" w:w="3427"/>
          </w:tcPr>
          <w:p>
            <w:pPr>
              <w:spacing w:after="0"/>
            </w:pPr>
            <w:r>
              <w:rPr>
                <w:sz w:val="16"/>
              </w:rPr>
              <w:t>Data Count=124</w:t>
            </w:r>
          </w:p>
        </w:tc>
        <w:tc>
          <w:tcPr>
            <w:tcW w:type="dxa" w:w="3427"/>
          </w:tcPr>
          <w:p>
            <w:pPr>
              <w:spacing w:after="0"/>
            </w:pPr>
            <w:r>
              <w:rPr>
                <w:sz w:val="16"/>
              </w:rPr>
              <w:t>Could mean read count, tag count or vendor-specific setting</w:t>
            </w:r>
          </w:p>
        </w:tc>
        <w:tc>
          <w:tcPr>
            <w:tcW w:type="dxa" w:w="3427"/>
          </w:tcPr>
          <w:p>
            <w:pPr>
              <w:spacing w:after="0"/>
            </w:pPr>
            <w:r>
              <w:rPr>
                <w:sz w:val="16"/>
              </w:rPr>
              <w:t>Document precise meaning per profile before runtime use</w:t>
            </w:r>
          </w:p>
        </w:tc>
      </w:tr>
      <w:tr>
        <w:tc>
          <w:tcPr>
            <w:tcW w:type="dxa" w:w="3427"/>
            <w:shd w:fill="F3F6F9"/>
          </w:tcPr>
          <w:p>
            <w:pPr>
              <w:spacing w:after="0"/>
            </w:pPr>
            <w:r>
              <w:rPr>
                <w:sz w:val="16"/>
              </w:rPr>
              <w:t>Address convention</w:t>
            </w:r>
          </w:p>
        </w:tc>
        <w:tc>
          <w:tcPr>
            <w:tcW w:type="dxa" w:w="3427"/>
            <w:shd w:fill="F3F6F9"/>
          </w:tcPr>
          <w:p>
            <w:pPr>
              <w:spacing w:after="0"/>
            </w:pPr>
            <w:r>
              <w:rPr>
                <w:sz w:val="16"/>
              </w:rPr>
              <w:t>4001 may be offset/reference/vendor notation</w:t>
            </w:r>
          </w:p>
        </w:tc>
        <w:tc>
          <w:tcPr>
            <w:tcW w:type="dxa" w:w="3427"/>
            <w:shd w:fill="F3F6F9"/>
          </w:tcPr>
          <w:p>
            <w:pPr>
              <w:spacing w:after="0"/>
            </w:pPr>
            <w:r>
              <w:rPr>
                <w:sz w:val="16"/>
              </w:rPr>
              <w:t>Store convention and test read; do not auto-shift</w:t>
            </w:r>
          </w:p>
        </w:tc>
      </w:tr>
      <w:tr>
        <w:tc>
          <w:tcPr>
            <w:tcW w:type="dxa" w:w="3427"/>
          </w:tcPr>
          <w:p>
            <w:pPr>
              <w:spacing w:after="0"/>
            </w:pPr>
            <w:r>
              <w:rPr>
                <w:sz w:val="16"/>
              </w:rPr>
              <w:t>FC3/Holding</w:t>
            </w:r>
          </w:p>
        </w:tc>
        <w:tc>
          <w:tcPr>
            <w:tcW w:type="dxa" w:w="3427"/>
          </w:tcPr>
          <w:p>
            <w:pPr>
              <w:spacing w:after="0"/>
            </w:pPr>
            <w:r>
              <w:rPr>
                <w:sz w:val="16"/>
              </w:rPr>
              <w:t>Function code and register type need exact normalization</w:t>
            </w:r>
          </w:p>
        </w:tc>
        <w:tc>
          <w:tcPr>
            <w:tcW w:type="dxa" w:w="3427"/>
          </w:tcPr>
          <w:p>
            <w:pPr>
              <w:spacing w:after="0"/>
            </w:pPr>
            <w:r>
              <w:rPr>
                <w:sz w:val="16"/>
              </w:rPr>
              <w:t>Approve internal mapping</w:t>
            </w:r>
          </w:p>
        </w:tc>
      </w:tr>
      <w:tr>
        <w:tc>
          <w:tcPr>
            <w:tcW w:type="dxa" w:w="3427"/>
            <w:shd w:fill="F3F6F9"/>
          </w:tcPr>
          <w:p>
            <w:pPr>
              <w:spacing w:after="0"/>
            </w:pPr>
            <w:r>
              <w:rPr>
                <w:sz w:val="16"/>
              </w:rPr>
              <w:t>Data types and scaling</w:t>
            </w:r>
          </w:p>
        </w:tc>
        <w:tc>
          <w:tcPr>
            <w:tcW w:type="dxa" w:w="3427"/>
            <w:shd w:fill="F3F6F9"/>
          </w:tcPr>
          <w:p>
            <w:pPr>
              <w:spacing w:after="0"/>
            </w:pPr>
            <w:r>
              <w:rPr>
                <w:sz w:val="16"/>
              </w:rPr>
              <w:t>Workbook does not specify all decoder metadata</w:t>
            </w:r>
          </w:p>
        </w:tc>
        <w:tc>
          <w:tcPr>
            <w:tcW w:type="dxa" w:w="3427"/>
            <w:shd w:fill="F3F6F9"/>
          </w:tcPr>
          <w:p>
            <w:pPr>
              <w:spacing w:after="0"/>
            </w:pPr>
            <w:r>
              <w:rPr>
                <w:sz w:val="16"/>
              </w:rPr>
              <w:t>Create approved model-specific decoding profile</w:t>
            </w:r>
          </w:p>
        </w:tc>
      </w:tr>
      <w:tr>
        <w:tc>
          <w:tcPr>
            <w:tcW w:type="dxa" w:w="3427"/>
          </w:tcPr>
          <w:p>
            <w:pPr>
              <w:spacing w:after="0"/>
            </w:pPr>
            <w:r>
              <w:rPr>
                <w:sz w:val="16"/>
              </w:rPr>
              <w:t>Device Array port</w:t>
            </w:r>
          </w:p>
        </w:tc>
        <w:tc>
          <w:tcPr>
            <w:tcW w:type="dxa" w:w="3427"/>
          </w:tcPr>
          <w:p>
            <w:pPr>
              <w:spacing w:after="0"/>
            </w:pPr>
            <w:r>
              <w:rPr>
                <w:sz w:val="16"/>
              </w:rPr>
              <w:t>Example is 509 for 8 inverters; planned 511 for 10</w:t>
            </w:r>
          </w:p>
        </w:tc>
        <w:tc>
          <w:tcPr>
            <w:tcW w:type="dxa" w:w="3427"/>
          </w:tcPr>
          <w:p>
            <w:pPr>
              <w:spacing w:after="0"/>
            </w:pPr>
            <w:r>
              <w:rPr>
                <w:sz w:val="16"/>
              </w:rPr>
              <w:t>Explicit workbook value takes precedence; calculate only if policy says so</w:t>
            </w:r>
          </w:p>
        </w:tc>
      </w:tr>
      <w:tr>
        <w:tc>
          <w:tcPr>
            <w:tcW w:type="dxa" w:w="3427"/>
            <w:shd w:fill="F3F6F9"/>
          </w:tcPr>
          <w:p>
            <w:pPr>
              <w:spacing w:after="0"/>
            </w:pPr>
            <w:r>
              <w:rPr>
                <w:sz w:val="16"/>
              </w:rPr>
              <w:t>Device Name carry-down</w:t>
            </w:r>
          </w:p>
        </w:tc>
        <w:tc>
          <w:tcPr>
            <w:tcW w:type="dxa" w:w="3427"/>
            <w:shd w:fill="F3F6F9"/>
          </w:tcPr>
          <w:p>
            <w:pPr>
              <w:spacing w:after="0"/>
            </w:pPr>
            <w:r>
              <w:rPr>
                <w:sz w:val="16"/>
              </w:rPr>
              <w:t>Group labels may only appear at first row</w:t>
            </w:r>
          </w:p>
        </w:tc>
        <w:tc>
          <w:tcPr>
            <w:tcW w:type="dxa" w:w="3427"/>
            <w:shd w:fill="F3F6F9"/>
          </w:tcPr>
          <w:p>
            <w:pPr>
              <w:spacing w:after="0"/>
            </w:pPr>
            <w:r>
              <w:rPr>
                <w:sz w:val="16"/>
              </w:rPr>
              <w:t>Approve carry-forward rule until next nonblank group label</w:t>
            </w:r>
          </w:p>
        </w:tc>
      </w:tr>
      <w:tr>
        <w:tc>
          <w:tcPr>
            <w:tcW w:type="dxa" w:w="3427"/>
          </w:tcPr>
          <w:p>
            <w:pPr>
              <w:spacing w:after="0"/>
            </w:pPr>
            <w:r>
              <w:rPr>
                <w:sz w:val="16"/>
              </w:rPr>
              <w:t>Relay/annunciator states</w:t>
            </w:r>
          </w:p>
        </w:tc>
        <w:tc>
          <w:tcPr>
            <w:tcW w:type="dxa" w:w="3427"/>
          </w:tcPr>
          <w:p>
            <w:pPr>
              <w:spacing w:after="0"/>
            </w:pPr>
            <w:r>
              <w:rPr>
                <w:sz w:val="16"/>
              </w:rPr>
              <w:t>Labels do not define bit polarity or alarm meaning</w:t>
            </w:r>
          </w:p>
        </w:tc>
        <w:tc>
          <w:tcPr>
            <w:tcW w:type="dxa" w:w="3427"/>
          </w:tcPr>
          <w:p>
            <w:pPr>
              <w:spacing w:after="0"/>
            </w:pPr>
            <w:r>
              <w:rPr>
                <w:sz w:val="16"/>
              </w:rPr>
              <w:t>Document bit/enum values, normal/alarm state and severity</w:t>
            </w:r>
          </w:p>
        </w:tc>
      </w:tr>
      <w:tr>
        <w:tc>
          <w:tcPr>
            <w:tcW w:type="dxa" w:w="3427"/>
            <w:shd w:fill="F3F6F9"/>
          </w:tcPr>
          <w:p>
            <w:pPr>
              <w:spacing w:after="0"/>
            </w:pPr>
            <w:r>
              <w:rPr>
                <w:sz w:val="16"/>
              </w:rPr>
              <w:t>Shared IP</w:t>
            </w:r>
          </w:p>
        </w:tc>
        <w:tc>
          <w:tcPr>
            <w:tcW w:type="dxa" w:w="3427"/>
            <w:shd w:fill="F3F6F9"/>
          </w:tcPr>
          <w:p>
            <w:pPr>
              <w:spacing w:after="0"/>
            </w:pPr>
            <w:r>
              <w:rPr>
                <w:sz w:val="16"/>
              </w:rPr>
              <w:t>Ports only work if gateway routes/listens there</w:t>
            </w:r>
          </w:p>
        </w:tc>
        <w:tc>
          <w:tcPr>
            <w:tcW w:type="dxa" w:w="3427"/>
            <w:shd w:fill="F3F6F9"/>
          </w:tcPr>
          <w:p>
            <w:pPr>
              <w:spacing w:after="0"/>
            </w:pPr>
            <w:r>
              <w:rPr>
                <w:sz w:val="16"/>
              </w:rPr>
              <w:t>Test every endpoint</w:t>
            </w:r>
          </w:p>
        </w:tc>
      </w:tr>
    </w:tbl>
    <w:p/>
    <w:p>
      <w:pPr>
        <w:pStyle w:val="Heading1"/>
      </w:pPr>
      <w:r>
        <w:t>Appendix A. Workbook-Derived Parameter Examples</w:t>
      </w:r>
    </w:p>
    <w:tbl>
      <w:tblPr>
        <w:tblStyle w:val="TableGrid"/>
        <w:tblW w:type="auto" w:w="0"/>
        <w:tblLook w:firstColumn="1" w:firstRow="1" w:lastColumn="0" w:lastRow="0" w:noHBand="0" w:noVBand="1" w:val="04A0"/>
      </w:tblPr>
      <w:tblGrid>
        <w:gridCol w:w="3427"/>
        <w:gridCol w:w="3427"/>
        <w:gridCol w:w="3427"/>
      </w:tblGrid>
      <w:tr>
        <w:tc>
          <w:tcPr>
            <w:tcW w:type="dxa" w:w="3427"/>
            <w:shd w:fill="132238"/>
          </w:tcPr>
          <w:p>
            <w:r>
              <w:rPr>
                <w:b/>
                <w:color w:val="FFFFFF"/>
                <w:sz w:val="16"/>
              </w:rPr>
              <w:t>Inverter parameter</w:t>
            </w:r>
          </w:p>
        </w:tc>
        <w:tc>
          <w:tcPr>
            <w:tcW w:type="dxa" w:w="3427"/>
            <w:shd w:fill="132238"/>
          </w:tcPr>
          <w:p>
            <w:r>
              <w:rPr>
                <w:b/>
                <w:color w:val="FFFFFF"/>
                <w:sz w:val="16"/>
              </w:rPr>
              <w:t>Address shown</w:t>
            </w:r>
          </w:p>
        </w:tc>
        <w:tc>
          <w:tcPr>
            <w:tcW w:type="dxa" w:w="3427"/>
            <w:shd w:fill="132238"/>
          </w:tcPr>
          <w:p>
            <w:r>
              <w:rPr>
                <w:b/>
                <w:color w:val="FFFFFF"/>
                <w:sz w:val="16"/>
              </w:rPr>
              <w:t>Engineering note</w:t>
            </w:r>
          </w:p>
        </w:tc>
      </w:tr>
      <w:tr>
        <w:tc>
          <w:tcPr>
            <w:tcW w:type="dxa" w:w="3427"/>
          </w:tcPr>
          <w:p>
            <w:pPr>
              <w:spacing w:after="0"/>
            </w:pPr>
            <w:r>
              <w:rPr>
                <w:sz w:val="16"/>
              </w:rPr>
              <w:t>Active Power</w:t>
            </w:r>
          </w:p>
        </w:tc>
        <w:tc>
          <w:tcPr>
            <w:tcW w:type="dxa" w:w="3427"/>
          </w:tcPr>
          <w:p>
            <w:pPr>
              <w:spacing w:after="0"/>
            </w:pPr>
            <w:r>
              <w:rPr>
                <w:sz w:val="16"/>
              </w:rPr>
              <w:t>4001</w:t>
            </w:r>
          </w:p>
        </w:tc>
        <w:tc>
          <w:tcPr>
            <w:tcW w:type="dxa" w:w="3427"/>
          </w:tcPr>
          <w:p>
            <w:pPr>
              <w:spacing w:after="0"/>
            </w:pPr>
            <w:r>
              <w:rPr>
                <w:sz w:val="16"/>
              </w:rPr>
              <w:t>Decoder and unit must be confirmed</w:t>
            </w:r>
          </w:p>
        </w:tc>
      </w:tr>
      <w:tr>
        <w:tc>
          <w:tcPr>
            <w:tcW w:type="dxa" w:w="3427"/>
            <w:shd w:fill="F3F6F9"/>
          </w:tcPr>
          <w:p>
            <w:pPr>
              <w:spacing w:after="0"/>
            </w:pPr>
            <w:r>
              <w:rPr>
                <w:sz w:val="16"/>
              </w:rPr>
              <w:t>DC Power</w:t>
            </w:r>
          </w:p>
        </w:tc>
        <w:tc>
          <w:tcPr>
            <w:tcW w:type="dxa" w:w="3427"/>
            <w:shd w:fill="F3F6F9"/>
          </w:tcPr>
          <w:p>
            <w:pPr>
              <w:spacing w:after="0"/>
            </w:pPr>
            <w:r>
              <w:rPr>
                <w:sz w:val="16"/>
              </w:rPr>
              <w:t>4002</w:t>
            </w:r>
          </w:p>
        </w:tc>
        <w:tc>
          <w:tcPr>
            <w:tcW w:type="dxa" w:w="3427"/>
            <w:shd w:fill="F3F6F9"/>
          </w:tcPr>
          <w:p>
            <w:pPr>
              <w:spacing w:after="0"/>
            </w:pPr>
            <w:r>
              <w:rPr>
                <w:sz w:val="16"/>
              </w:rPr>
              <w:t>Confirm address convention and type</w:t>
            </w:r>
          </w:p>
        </w:tc>
      </w:tr>
      <w:tr>
        <w:tc>
          <w:tcPr>
            <w:tcW w:type="dxa" w:w="3427"/>
          </w:tcPr>
          <w:p>
            <w:pPr>
              <w:spacing w:after="0"/>
            </w:pPr>
            <w:r>
              <w:rPr>
                <w:sz w:val="16"/>
              </w:rPr>
              <w:t>Reactive Power</w:t>
            </w:r>
          </w:p>
        </w:tc>
        <w:tc>
          <w:tcPr>
            <w:tcW w:type="dxa" w:w="3427"/>
          </w:tcPr>
          <w:p>
            <w:pPr>
              <w:spacing w:after="0"/>
            </w:pPr>
            <w:r>
              <w:rPr>
                <w:sz w:val="16"/>
              </w:rPr>
              <w:t>4003</w:t>
            </w:r>
          </w:p>
        </w:tc>
        <w:tc>
          <w:tcPr>
            <w:tcW w:type="dxa" w:w="3427"/>
          </w:tcPr>
          <w:p>
            <w:pPr>
              <w:spacing w:after="0"/>
            </w:pPr>
            <w:r>
              <w:rPr>
                <w:sz w:val="16"/>
              </w:rPr>
              <w:t>Confirm type and scale</w:t>
            </w:r>
          </w:p>
        </w:tc>
      </w:tr>
      <w:tr>
        <w:tc>
          <w:tcPr>
            <w:tcW w:type="dxa" w:w="3427"/>
            <w:shd w:fill="F3F6F9"/>
          </w:tcPr>
          <w:p>
            <w:pPr>
              <w:spacing w:after="0"/>
            </w:pPr>
            <w:r>
              <w:rPr>
                <w:sz w:val="16"/>
              </w:rPr>
              <w:t>Today Generation</w:t>
            </w:r>
          </w:p>
        </w:tc>
        <w:tc>
          <w:tcPr>
            <w:tcW w:type="dxa" w:w="3427"/>
            <w:shd w:fill="F3F6F9"/>
          </w:tcPr>
          <w:p>
            <w:pPr>
              <w:spacing w:after="0"/>
            </w:pPr>
            <w:r>
              <w:rPr>
                <w:sz w:val="16"/>
              </w:rPr>
              <w:t>4004</w:t>
            </w:r>
          </w:p>
        </w:tc>
        <w:tc>
          <w:tcPr>
            <w:tcW w:type="dxa" w:w="3427"/>
            <w:shd w:fill="F3F6F9"/>
          </w:tcPr>
          <w:p>
            <w:pPr>
              <w:spacing w:after="0"/>
            </w:pPr>
            <w:r>
              <w:rPr>
                <w:sz w:val="16"/>
              </w:rPr>
              <w:t>Confirm unit/reset behavior</w:t>
            </w:r>
          </w:p>
        </w:tc>
      </w:tr>
      <w:tr>
        <w:tc>
          <w:tcPr>
            <w:tcW w:type="dxa" w:w="3427"/>
          </w:tcPr>
          <w:p>
            <w:pPr>
              <w:spacing w:after="0"/>
            </w:pPr>
            <w:r>
              <w:rPr>
                <w:sz w:val="16"/>
              </w:rPr>
              <w:t>Total Generation</w:t>
            </w:r>
          </w:p>
        </w:tc>
        <w:tc>
          <w:tcPr>
            <w:tcW w:type="dxa" w:w="3427"/>
          </w:tcPr>
          <w:p>
            <w:pPr>
              <w:spacing w:after="0"/>
            </w:pPr>
            <w:r>
              <w:rPr>
                <w:sz w:val="16"/>
              </w:rPr>
              <w:t>4005</w:t>
            </w:r>
          </w:p>
        </w:tc>
        <w:tc>
          <w:tcPr>
            <w:tcW w:type="dxa" w:w="3427"/>
          </w:tcPr>
          <w:p>
            <w:pPr>
              <w:spacing w:after="0"/>
            </w:pPr>
            <w:r>
              <w:rPr>
                <w:sz w:val="16"/>
              </w:rPr>
              <w:t>Confirm counter type/rollover</w:t>
            </w:r>
          </w:p>
        </w:tc>
      </w:tr>
      <w:tr>
        <w:tc>
          <w:tcPr>
            <w:tcW w:type="dxa" w:w="3427"/>
            <w:shd w:fill="F3F6F9"/>
          </w:tcPr>
          <w:p>
            <w:pPr>
              <w:spacing w:after="0"/>
            </w:pPr>
            <w:r>
              <w:rPr>
                <w:sz w:val="16"/>
              </w:rPr>
              <w:t>Power Factor</w:t>
            </w:r>
          </w:p>
        </w:tc>
        <w:tc>
          <w:tcPr>
            <w:tcW w:type="dxa" w:w="3427"/>
            <w:shd w:fill="F3F6F9"/>
          </w:tcPr>
          <w:p>
            <w:pPr>
              <w:spacing w:after="0"/>
            </w:pPr>
            <w:r>
              <w:rPr>
                <w:sz w:val="16"/>
              </w:rPr>
              <w:t>4006</w:t>
            </w:r>
          </w:p>
        </w:tc>
        <w:tc>
          <w:tcPr>
            <w:tcW w:type="dxa" w:w="3427"/>
            <w:shd w:fill="F3F6F9"/>
          </w:tcPr>
          <w:p>
            <w:pPr>
              <w:spacing w:after="0"/>
            </w:pPr>
            <w:r>
              <w:rPr>
                <w:sz w:val="16"/>
              </w:rPr>
              <w:t>Confirm range and scaling</w:t>
            </w:r>
          </w:p>
        </w:tc>
      </w:tr>
      <w:tr>
        <w:tc>
          <w:tcPr>
            <w:tcW w:type="dxa" w:w="3427"/>
          </w:tcPr>
          <w:p>
            <w:pPr>
              <w:spacing w:after="0"/>
            </w:pPr>
            <w:r>
              <w:rPr>
                <w:sz w:val="16"/>
              </w:rPr>
              <w:t>Grid Frequency</w:t>
            </w:r>
          </w:p>
        </w:tc>
        <w:tc>
          <w:tcPr>
            <w:tcW w:type="dxa" w:w="3427"/>
          </w:tcPr>
          <w:p>
            <w:pPr>
              <w:spacing w:after="0"/>
            </w:pPr>
            <w:r>
              <w:rPr>
                <w:sz w:val="16"/>
              </w:rPr>
              <w:t>4007</w:t>
            </w:r>
          </w:p>
        </w:tc>
        <w:tc>
          <w:tcPr>
            <w:tcW w:type="dxa" w:w="3427"/>
          </w:tcPr>
          <w:p>
            <w:pPr>
              <w:spacing w:after="0"/>
            </w:pPr>
            <w:r>
              <w:rPr>
                <w:sz w:val="16"/>
              </w:rPr>
              <w:t>Confirm unit/scaling</w:t>
            </w:r>
          </w:p>
        </w:tc>
      </w:tr>
      <w:tr>
        <w:tc>
          <w:tcPr>
            <w:tcW w:type="dxa" w:w="3427"/>
            <w:shd w:fill="F3F6F9"/>
          </w:tcPr>
          <w:p>
            <w:pPr>
              <w:spacing w:after="0"/>
            </w:pPr>
            <w:r>
              <w:rPr>
                <w:sz w:val="16"/>
              </w:rPr>
              <w:t>Internal Temp.</w:t>
            </w:r>
          </w:p>
        </w:tc>
        <w:tc>
          <w:tcPr>
            <w:tcW w:type="dxa" w:w="3427"/>
            <w:shd w:fill="F3F6F9"/>
          </w:tcPr>
          <w:p>
            <w:pPr>
              <w:spacing w:after="0"/>
            </w:pPr>
            <w:r>
              <w:rPr>
                <w:sz w:val="16"/>
              </w:rPr>
              <w:t>4009</w:t>
            </w:r>
          </w:p>
        </w:tc>
        <w:tc>
          <w:tcPr>
            <w:tcW w:type="dxa" w:w="3427"/>
            <w:shd w:fill="F3F6F9"/>
          </w:tcPr>
          <w:p>
            <w:pPr>
              <w:spacing w:after="0"/>
            </w:pPr>
            <w:r>
              <w:rPr>
                <w:sz w:val="16"/>
              </w:rPr>
              <w:t>Confirm unit/scaling</w:t>
            </w:r>
          </w:p>
        </w:tc>
      </w:tr>
      <w:tr>
        <w:tc>
          <w:tcPr>
            <w:tcW w:type="dxa" w:w="3427"/>
          </w:tcPr>
          <w:p>
            <w:pPr>
              <w:spacing w:after="0"/>
            </w:pPr>
            <w:r>
              <w:rPr>
                <w:sz w:val="16"/>
              </w:rPr>
              <w:t>Status</w:t>
            </w:r>
          </w:p>
        </w:tc>
        <w:tc>
          <w:tcPr>
            <w:tcW w:type="dxa" w:w="3427"/>
          </w:tcPr>
          <w:p>
            <w:pPr>
              <w:spacing w:after="0"/>
            </w:pPr>
            <w:r>
              <w:rPr>
                <w:sz w:val="16"/>
              </w:rPr>
              <w:t>4010</w:t>
            </w:r>
          </w:p>
        </w:tc>
        <w:tc>
          <w:tcPr>
            <w:tcW w:type="dxa" w:w="3427"/>
          </w:tcPr>
          <w:p>
            <w:pPr>
              <w:spacing w:after="0"/>
            </w:pPr>
            <w:r>
              <w:rPr>
                <w:sz w:val="16"/>
              </w:rPr>
              <w:t>Define raw-value enum</w:t>
            </w:r>
          </w:p>
        </w:tc>
      </w:tr>
      <w:tr>
        <w:tc>
          <w:tcPr>
            <w:tcW w:type="dxa" w:w="3427"/>
            <w:shd w:fill="F3F6F9"/>
          </w:tcPr>
          <w:p>
            <w:pPr>
              <w:spacing w:after="0"/>
            </w:pPr>
            <w:r>
              <w:rPr>
                <w:sz w:val="16"/>
              </w:rPr>
              <w:t>R/Y/B Phase Voltage</w:t>
            </w:r>
          </w:p>
        </w:tc>
        <w:tc>
          <w:tcPr>
            <w:tcW w:type="dxa" w:w="3427"/>
            <w:shd w:fill="F3F6F9"/>
          </w:tcPr>
          <w:p>
            <w:pPr>
              <w:spacing w:after="0"/>
            </w:pPr>
            <w:r>
              <w:rPr>
                <w:sz w:val="16"/>
              </w:rPr>
              <w:t>4014–4016</w:t>
            </w:r>
          </w:p>
        </w:tc>
        <w:tc>
          <w:tcPr>
            <w:tcW w:type="dxa" w:w="3427"/>
            <w:shd w:fill="F3F6F9"/>
          </w:tcPr>
          <w:p>
            <w:pPr>
              <w:spacing w:after="0"/>
            </w:pPr>
            <w:r>
              <w:rPr>
                <w:sz w:val="16"/>
              </w:rPr>
              <w:t>Check contiguous block feasibility</w:t>
            </w:r>
          </w:p>
        </w:tc>
      </w:tr>
      <w:tr>
        <w:tc>
          <w:tcPr>
            <w:tcW w:type="dxa" w:w="3427"/>
          </w:tcPr>
          <w:p>
            <w:pPr>
              <w:spacing w:after="0"/>
            </w:pPr>
            <w:r>
              <w:rPr>
                <w:sz w:val="16"/>
              </w:rPr>
              <w:t>String Current 01–32</w:t>
            </w:r>
          </w:p>
        </w:tc>
        <w:tc>
          <w:tcPr>
            <w:tcW w:type="dxa" w:w="3427"/>
          </w:tcPr>
          <w:p>
            <w:pPr>
              <w:spacing w:after="0"/>
            </w:pPr>
            <w:r>
              <w:rPr>
                <w:sz w:val="16"/>
              </w:rPr>
              <w:t>4026–4057</w:t>
            </w:r>
          </w:p>
        </w:tc>
        <w:tc>
          <w:tcPr>
            <w:tcW w:type="dxa" w:w="3427"/>
          </w:tcPr>
          <w:p>
            <w:pPr>
              <w:spacing w:after="0"/>
            </w:pPr>
            <w:r>
              <w:rPr>
                <w:sz w:val="16"/>
              </w:rPr>
              <w:t>Repeated parameter group in source</w:t>
            </w:r>
          </w:p>
        </w:tc>
      </w:tr>
      <w:tr>
        <w:tc>
          <w:tcPr>
            <w:tcW w:type="dxa" w:w="3427"/>
            <w:shd w:fill="F3F6F9"/>
          </w:tcPr>
          <w:p>
            <w:pPr>
              <w:spacing w:after="0"/>
            </w:pPr>
            <w:r>
              <w:rPr>
                <w:sz w:val="16"/>
              </w:rPr>
              <w:t>MPPT Voltage 01–12</w:t>
            </w:r>
          </w:p>
        </w:tc>
        <w:tc>
          <w:tcPr>
            <w:tcW w:type="dxa" w:w="3427"/>
            <w:shd w:fill="F3F6F9"/>
          </w:tcPr>
          <w:p>
            <w:pPr>
              <w:spacing w:after="0"/>
            </w:pPr>
            <w:r>
              <w:rPr>
                <w:sz w:val="16"/>
              </w:rPr>
              <w:t>4058–4069</w:t>
            </w:r>
          </w:p>
        </w:tc>
        <w:tc>
          <w:tcPr>
            <w:tcW w:type="dxa" w:w="3427"/>
            <w:shd w:fill="F3F6F9"/>
          </w:tcPr>
          <w:p>
            <w:pPr>
              <w:spacing w:after="0"/>
            </w:pPr>
            <w:r>
              <w:rPr>
                <w:sz w:val="16"/>
              </w:rPr>
              <w:t>Repeated parameter group in source</w:t>
            </w:r>
          </w:p>
        </w:tc>
      </w:tr>
      <w:tr>
        <w:tc>
          <w:tcPr>
            <w:tcW w:type="dxa" w:w="3427"/>
          </w:tcPr>
          <w:p>
            <w:pPr>
              <w:spacing w:after="0"/>
            </w:pPr>
            <w:r>
              <w:rPr>
                <w:sz w:val="16"/>
              </w:rPr>
              <w:t>MPPT Current 01–12</w:t>
            </w:r>
          </w:p>
        </w:tc>
        <w:tc>
          <w:tcPr>
            <w:tcW w:type="dxa" w:w="3427"/>
          </w:tcPr>
          <w:p>
            <w:pPr>
              <w:spacing w:after="0"/>
            </w:pPr>
            <w:r>
              <w:rPr>
                <w:sz w:val="16"/>
              </w:rPr>
              <w:t>4070–4081</w:t>
            </w:r>
          </w:p>
        </w:tc>
        <w:tc>
          <w:tcPr>
            <w:tcW w:type="dxa" w:w="3427"/>
          </w:tcPr>
          <w:p>
            <w:pPr>
              <w:spacing w:after="0"/>
            </w:pPr>
            <w:r>
              <w:rPr>
                <w:sz w:val="16"/>
              </w:rPr>
              <w:t>Repeated parameter group in source</w:t>
            </w:r>
          </w:p>
        </w:tc>
      </w:tr>
    </w:tbl>
    <w:p/>
    <w:tbl>
      <w:tblPr>
        <w:tblStyle w:val="TableGrid"/>
        <w:tblW w:type="auto" w:w="0"/>
        <w:tblLook w:firstColumn="1" w:firstRow="1" w:lastColumn="0" w:lastRow="0" w:noHBand="0" w:noVBand="1" w:val="04A0"/>
      </w:tblPr>
      <w:tblGrid>
        <w:gridCol w:w="5141"/>
        <w:gridCol w:w="5141"/>
      </w:tblGrid>
      <w:tr>
        <w:tc>
          <w:tcPr>
            <w:tcW w:type="dxa" w:w="5141"/>
            <w:shd w:fill="132238"/>
          </w:tcPr>
          <w:p>
            <w:r>
              <w:rPr>
                <w:b/>
                <w:color w:val="FFFFFF"/>
                <w:sz w:val="16"/>
              </w:rPr>
              <w:t>Device Array group</w:t>
            </w:r>
          </w:p>
        </w:tc>
        <w:tc>
          <w:tcPr>
            <w:tcW w:type="dxa" w:w="5141"/>
            <w:shd w:fill="132238"/>
          </w:tcPr>
          <w:p>
            <w:r>
              <w:rPr>
                <w:b/>
                <w:color w:val="FFFFFF"/>
                <w:sz w:val="16"/>
              </w:rPr>
              <w:t>Examples</w:t>
            </w:r>
          </w:p>
        </w:tc>
      </w:tr>
      <w:tr>
        <w:tc>
          <w:tcPr>
            <w:tcW w:type="dxa" w:w="5141"/>
          </w:tcPr>
          <w:p>
            <w:pPr>
              <w:spacing w:after="0"/>
            </w:pPr>
            <w:r>
              <w:rPr>
                <w:sz w:val="16"/>
              </w:rPr>
              <w:t>WMS</w:t>
            </w:r>
          </w:p>
        </w:tc>
        <w:tc>
          <w:tcPr>
            <w:tcW w:type="dxa" w:w="5141"/>
          </w:tcPr>
          <w:p>
            <w:pPr>
              <w:spacing w:after="0"/>
            </w:pPr>
            <w:r>
              <w:rPr>
                <w:sz w:val="16"/>
              </w:rPr>
              <w:t>GTI, cumulative/total GTI, GHI, shadow irradiation, rain, ambient/module temperature, humidity, wind</w:t>
            </w:r>
          </w:p>
        </w:tc>
      </w:tr>
      <w:tr>
        <w:tc>
          <w:tcPr>
            <w:tcW w:type="dxa" w:w="5141"/>
            <w:shd w:fill="F3F6F9"/>
          </w:tcPr>
          <w:p>
            <w:pPr>
              <w:spacing w:after="0"/>
            </w:pPr>
            <w:r>
              <w:rPr>
                <w:sz w:val="16"/>
              </w:rPr>
              <w:t>Trafo</w:t>
            </w:r>
          </w:p>
        </w:tc>
        <w:tc>
          <w:tcPr>
            <w:tcW w:type="dxa" w:w="5141"/>
            <w:shd w:fill="F3F6F9"/>
          </w:tcPr>
          <w:p>
            <w:pPr>
              <w:spacing w:after="0"/>
            </w:pPr>
            <w:r>
              <w:rPr>
                <w:sz w:val="16"/>
              </w:rPr>
              <w:t>WTI 01/02, OTI 01/02</w:t>
            </w:r>
          </w:p>
        </w:tc>
      </w:tr>
      <w:tr>
        <w:tc>
          <w:tcPr>
            <w:tcW w:type="dxa" w:w="5141"/>
          </w:tcPr>
          <w:p>
            <w:pPr>
              <w:spacing w:after="0"/>
            </w:pPr>
            <w:r>
              <w:rPr>
                <w:sz w:val="16"/>
              </w:rPr>
              <w:t>TVM</w:t>
            </w:r>
          </w:p>
        </w:tc>
        <w:tc>
          <w:tcPr>
            <w:tcW w:type="dxa" w:w="5141"/>
          </w:tcPr>
          <w:p>
            <w:pPr>
              <w:spacing w:after="0"/>
            </w:pPr>
            <w:r>
              <w:rPr>
                <w:sz w:val="16"/>
              </w:rPr>
              <w:t>Phase voltage/current, neutral current, active/reactive/apparent power, frequency, PF, import/export</w:t>
            </w:r>
          </w:p>
        </w:tc>
      </w:tr>
      <w:tr>
        <w:tc>
          <w:tcPr>
            <w:tcW w:type="dxa" w:w="5141"/>
            <w:shd w:fill="F3F6F9"/>
          </w:tcPr>
          <w:p>
            <w:pPr>
              <w:spacing w:after="0"/>
            </w:pPr>
            <w:r>
              <w:rPr>
                <w:sz w:val="16"/>
              </w:rPr>
              <w:t>Annunciator</w:t>
            </w:r>
          </w:p>
        </w:tc>
        <w:tc>
          <w:tcPr>
            <w:tcW w:type="dxa" w:w="5141"/>
            <w:shd w:fill="F3F6F9"/>
          </w:tcPr>
          <w:p>
            <w:pPr>
              <w:spacing w:after="0"/>
            </w:pPr>
            <w:r>
              <w:rPr>
                <w:sz w:val="16"/>
              </w:rPr>
              <w:t>Ann Status: W-1 through W-24</w:t>
            </w:r>
          </w:p>
        </w:tc>
      </w:tr>
    </w:tbl>
    <w:p/>
    <w:p>
      <w:r>
        <w:t>Names and addresses above are transcribed from the workbook for documentation only; they do not define the correct raw data decoding.</w:t>
      </w:r>
    </w:p>
    <w:p>
      <w:pPr>
        <w:pStyle w:val="Heading1"/>
      </w:pPr>
      <w:r>
        <w:t>Appendix B. Final Implementation Rules</w:t>
      </w:r>
    </w:p>
    <w:p>
      <w:pPr>
        <w:pStyle w:val="ListBullet"/>
      </w:pPr>
      <w:r>
        <w:t>Use the approved workbook as the source configuration contract.</w:t>
      </w:r>
    </w:p>
    <w:p>
      <w:pPr>
        <w:pStyle w:val="ListBullet"/>
      </w:pPr>
      <w:r>
        <w:t>Generate inverter ports dynamically from count/base port; use explicit Device Array port when supplied.</w:t>
      </w:r>
    </w:p>
    <w:p>
      <w:pPr>
        <w:pStyle w:val="ListBullet"/>
      </w:pPr>
      <w:r>
        <w:t>Treat Device Array as grouped additional equipment, not automatically as a mathematical array.</w:t>
      </w:r>
    </w:p>
    <w:p>
      <w:pPr>
        <w:pStyle w:val="ListBullet"/>
      </w:pPr>
      <w:r>
        <w:t>Do not guess function codes, address conventions, data types, scaling or Data Count semantics.</w:t>
      </w:r>
    </w:p>
    <w:p>
      <w:pPr>
        <w:pStyle w:val="ListBullet"/>
      </w:pPr>
      <w:r>
        <w:t>Preview and test endpoints/tags before publishing.</w:t>
      </w:r>
    </w:p>
    <w:p>
      <w:pPr>
        <w:pStyle w:val="ListBullet"/>
      </w:pPr>
      <w:r>
        <w:t>Keep active configuration immutable and preserve rollback.</w:t>
      </w:r>
    </w:p>
    <w:p>
      <w:pPr>
        <w:pStyle w:val="ListBullet"/>
      </w:pPr>
      <w:r>
        <w:t>Continue local acquisition when UI or Internet is unavailable.</w:t>
      </w:r>
    </w:p>
    <w:p>
      <w:pPr>
        <w:pStyle w:val="ListBullet"/>
      </w:pPr>
      <w:r>
        <w:t>Use supplied SCADA screen images as visual guidance; bind production UI to live APIs.</w:t>
      </w:r>
    </w:p>
    <w:sectPr w:rsidR="00FC693F" w:rsidRPr="0006063C" w:rsidSect="00034616">
      <w:headerReference w:type="default" r:id="rId9"/>
      <w:footerReference w:type="default" r:id="rId10"/>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Engineering Documentation • Version 1.0 • 13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29B6F6"/>
        <w:sz w:val="16"/>
      </w:rPr>
      <w:t>ENRICH SCADA | STANDARD TEMPLATE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2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2D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9B6F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2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Enrich SCADA Standard Template Implementation Documentation</dc:title>
  <dc:subject>Implementation based on Bhokar Address Details workbook and dynamic inverter/Device Array configuration</dc:subject>
  <dc:creator>Enrich SCADA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