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TD Securities — Trade Surveillance Case Study</w:t>
      </w:r>
    </w:p>
    <w:p>
      <w:pPr>
        <w:jc w:val="center"/>
      </w:pPr>
      <w:r>
        <w:rPr>
          <w:i/>
          <w:sz w:val="28"/>
        </w:rPr>
        <w:t>Stage P1 — Repair Report</w:t>
      </w:r>
    </w:p>
    <w:p/>
    <w:p>
      <w:pPr>
        <w:jc w:val="center"/>
      </w:pPr>
      <w:r>
        <w:rPr>
          <w:sz w:val="20"/>
        </w:rPr>
        <w:t>Prepared by: Shravan Challa</w:t>
        <w:br/>
      </w:r>
      <w:r>
        <w:rPr>
          <w:sz w:val="20"/>
        </w:rPr>
        <w:t>Date: 2026-05-11</w:t>
        <w:br/>
      </w:r>
      <w:r>
        <w:rPr>
          <w:sz w:val="20"/>
        </w:rPr>
        <w:t>Companion to: Stage 1 — Data Profile Audit Trail</w:t>
        <w:br/>
      </w:r>
    </w:p>
    <w:p/>
    <w:p>
      <w:r>
        <w:rPr>
          <w:b/>
        </w:rPr>
        <w:t xml:space="preserve">Purpose. </w:t>
      </w:r>
      <w:r>
        <w:t>This document records the Stage P1 repair pipeline applied to the synthetic trade-surveillance dataset, the rationale for each transformation, and the resulting before/after state. Each rule is referenced by a stable ID and is reproducible from the scripts in case-study/analysis/. As in Stage 1, every claim is tied to a count or a row-level signature so the result can be defended end-to-end.</w:t>
      </w:r>
    </w:p>
    <w:p>
      <w:r>
        <w:br w:type="page"/>
      </w:r>
    </w:p>
    <w:p>
      <w:pPr>
        <w:pStyle w:val="Heading1"/>
      </w:pPr>
      <w:r>
        <w:rPr>
          <w:color w:val="1F3A5F"/>
        </w:rPr>
        <w:t>Executive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Raw data lines (universal-newline)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250,714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Stage 1 strict-parsed rows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146,304  (58.35%)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Stage 1 malformed rows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104,410  (41.65%)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Stage P1 clean rows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242,429  (96.70%)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Net rows recovered by structural repair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+96,125  (92.06% of the Stage-1 malformed)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Stage P1 quarantine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0  (rows failing 18-field structural validation after repair)</w:t>
            </w:r>
          </w:p>
        </w:tc>
      </w:tr>
    </w:tbl>
    <w:p>
      <w:r>
        <w:rPr>
          <w:b/>
          <w:i w:val="0"/>
        </w:rPr>
        <w:t>Three headline findings:</w:t>
      </w:r>
    </w:p>
    <w:p>
      <w:pPr>
        <w:pStyle w:val="ListBullet"/>
      </w:pPr>
      <w:r>
        <w:t>Structural repair recovers 96,125 of the 104,410 previously-malformed rows (92.06%). The remaining ~8,285 unaccounted lines are not lost — they are correctly absorbed as multi-line cell contents of parent records and no longer count as separate rows.</w:t>
      </w:r>
    </w:p>
    <w:p>
      <w:pPr>
        <w:pStyle w:val="ListBullet"/>
      </w:pPr>
      <w:r>
        <w:t>The apparent 'column-shift contamination' diagnosed in Stage 1 was almost entirely a parser-induced artifact, not a data-corruption defect class. After the structural repair, zero rows trigger the cross-column-shift indicators (MessageType ∉ enum, ISIN invalid, BuyOrSell ∉ {Buy,Sell}, TransactionTime non-ISO).</w:t>
      </w:r>
    </w:p>
    <w:p>
      <w:pPr>
        <w:pStyle w:val="ListBullet"/>
      </w:pPr>
      <w:r>
        <w:t>Two real residual defects survive the mechanical fixes and require business judgement to resolve: 17,671 rows participate in PK duplicates, and 5,944 rows have negative Price values that cannot represent a legitimate surveillance event in equity-style trade data.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Pipeline Overview</w:t>
      </w:r>
    </w:p>
    <w:p>
      <w:r>
        <w:rPr>
          <w:b w:val="0"/>
          <w:i w:val="0"/>
          <w:sz w:val="20"/>
        </w:rPr>
        <w:t>The Stage P1 pipeline is three steps. Each step is a single Python script; outputs from one feed the next; no manual editing is performed at any point.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Step 1 — Structural repair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05_repair_structural.py — normalise line endings, parse with skipinitialspace=True to recover quoted multi-line fields, strip per-field whitespace, output strict 18-field TSV.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Step 2 — Value normalisation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06_normalize_values.py — apply per-column rules N1–N10 (see §3). Each rule has a stable ID, a stated rationale, and a per-rule rows-affected count.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Step 3 — Post-fix profile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07_post_p1_profile.py — re-run the Stage-1 profile dimensions against the cleaned data so before/after deltas can be quantified.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2. Step 1 — Structural Repair</w:t>
      </w:r>
    </w:p>
    <w:p>
      <w:pPr>
        <w:pStyle w:val="Heading2"/>
      </w:pPr>
      <w:r>
        <w:rPr>
          <w:color w:val="1F3A5F"/>
        </w:rPr>
        <w:t>2.1 Two structural defects, one combined fix</w:t>
      </w:r>
    </w:p>
    <w:p>
      <w:r>
        <w:rPr>
          <w:b w:val="0"/>
          <w:i w:val="0"/>
          <w:sz w:val="20"/>
        </w:rPr>
        <w:t>Stage 1 identified two structural defects that together accounted for the 41.65% malformation rate:</w:t>
      </w:r>
    </w:p>
    <w:p>
      <w:pPr>
        <w:pStyle w:val="ListBullet"/>
      </w:pPr>
      <w:r>
        <w:t>Mixed line endings: 246,522 CRLF terminators plus 4,193 bare-CR terminators. Strict-LF readers miss the bare-CR lines silently.</w:t>
      </w:r>
    </w:p>
    <w:p>
      <w:pPr>
        <w:pStyle w:val="ListBullet"/>
      </w:pPr>
      <w:r>
        <w:t>Pervasive ' , ' (space-comma-space) separators that defeat CSV quote recognition: under RFC 4180, a quoted field is only recognised as quoted if the opening quote is the FIRST character of the field. The leading space turns the opening quote into a literal character, so embedded line breaks inside what were meant to be quoted multi-line cells became record separators instead.</w:t>
      </w:r>
    </w:p>
    <w:p>
      <w:pPr>
        <w:pStyle w:val="Heading2"/>
      </w:pPr>
      <w:r>
        <w:rPr>
          <w:color w:val="1F3A5F"/>
        </w:rPr>
        <w:t>2.2 Repair logic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Step A — line-ending normalisation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Replace every \r\n and bare \r with \n at the byte level. After this step the file has exactly one line-terminator convention.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Step B — CSV parse with skipinitialspace=True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Use Python's csv.reader so the leading whitespace before each field is consumed before the quote-detection state machine starts. Embedded \n inside quoted cells now resolves correctly as part of the cell value, not as a record separator.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Step C — per-field strip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Strip leading/trailing whitespace from every parsed value, which catches the trailing space (and any residual leading whitespace that survived step B).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Step D — field-count validation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Each parsed record must have exactly 18 fields. Records that don't are written to a quarantine file (none, after the steps above).</w:t>
            </w:r>
          </w:p>
        </w:tc>
      </w:tr>
    </w:tbl>
    <w:p>
      <w:pPr>
        <w:pStyle w:val="Heading2"/>
      </w:pPr>
      <w:r>
        <w:rPr>
          <w:color w:val="1F3A5F"/>
        </w:rPr>
        <w:t>2.3 Outcome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Input file bytes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55,109,785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Lines after EOL normalisation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250,715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Records parsed (post-repair)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242,429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Records passing 18-field validation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242,429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Records quarantined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recovered vs Stage-1 strict-parse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+96,125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Recovery rate of Stage-1 malformed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92.06%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Final parse-rate vs raw data lines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96.70%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776"/>
      </w:tblGrid>
      <w:tr>
        <w:tc>
          <w:tcPr>
            <w:tcW w:type="dxa" w:w="5112"/>
            <w:shd w:val="clear" w:color="auto"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RESOLVED</w:t>
            </w:r>
          </w:p>
        </w:tc>
        <w:tc>
          <w:tcPr>
            <w:tcW w:type="dxa" w:w="5112"/>
            <w:shd w:val="clear" w:color="auto" w:fill="F4F6F8"/>
          </w:tcPr>
          <w:p>
            <w:r/>
            <w:r>
              <w:rPr>
                <w:b/>
                <w:sz w:val="18"/>
              </w:rPr>
              <w:t xml:space="preserve">F-P1-STRUCT — Ingestion completeness restored: </w:t>
            </w:r>
            <w:r>
              <w:rPr>
                <w:sz w:val="18"/>
              </w:rPr>
              <w:t>Recovers 96,125 rows (92.06% of Stage-1 malformed). The remaining 8,285 'missing' lines are not lost — they have been correctly identified as embedded content within parent records' quoted multi-line cells, and no longer count as separate rows.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Step 2 — Value-Level Normalisation</w:t>
      </w:r>
    </w:p>
    <w:p>
      <w:r>
        <w:rPr>
          <w:b w:val="0"/>
          <w:i w:val="0"/>
          <w:sz w:val="20"/>
        </w:rPr>
        <w:t>Each rule is a small named transformation with: rule ID, column, rationale (the WHY), action (the WHAT), and a per-rule rows-affected count. The pipeline is deliberately conservative — defects are converted to nulls and flagged on a per-row basis rather than guessed-at. Aggressive recovery (e.g., re-aligning shifted rows by inserting missing fields) is deferred to Stage P2 once a producer review confirms the shift signature.</w:t>
      </w:r>
    </w:p>
    <w:p>
      <w:pPr>
        <w:pStyle w:val="Heading2"/>
      </w:pPr>
      <w:r>
        <w:rPr>
          <w:color w:val="1F3A5F"/>
        </w:rPr>
        <w:t>3.1 N1 — Null-token unification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N1.ExchangeId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ExchangeId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Multiple null tokens for the same logical state (['', 'N/A', 'NA', 'NULL', 'NaN', 'NaT', 'None', 'n/a', 'nan', 'none', 'null'] (plus ['NONE', 'NULL', 'OO"', 'ZZZZ'] for this field)) confuses every downstream null-check and creates spurious duplicates on PK fields.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Coerce ['', 'N/A', 'NA', 'NULL', 'NaN', 'NaT', 'None', 'n/a', 'nan', 'none', 'null', 'NONE', 'NULL', 'OO"', 'ZZZZ'] -&gt; null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4,105</w:t>
            </w:r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N1.MessageId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MessageId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Multiple null tokens for the same logical state (['', 'N/A', 'NA', 'NULL', 'NaN', 'NaT', 'None', 'n/a', 'nan', 'none', 'null']) confuses every downstream null-check and creates spurious duplicates on PK fields.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Coerce ['', 'N/A', 'NA', 'NULL', 'NaN', 'NaT', 'None', 'n/a', 'nan', 'none', 'null'] -&gt; null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4,714</w:t>
            </w:r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N1.LinkMessageId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LinkMessageId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Multiple null tokens for the same logical state (['', 'N/A', 'NA', 'NULL', 'NaN', 'NaT', 'None', 'n/a', 'nan', 'none', 'null']) confuses every downstream null-check and creates spurious duplicates on PK fields.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Coerce ['', 'N/A', 'NA', 'NULL', 'NaN', 'NaT', 'None', 'n/a', 'nan', 'none', 'null'] -&gt; null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100,000</w:t>
            </w:r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N1.ParentOrderId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ParentOrderId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Multiple null tokens for the same logical state (['', 'N/A', 'NA', 'NULL', 'NaN', 'NaT', 'None', 'n/a', 'nan', 'none', 'null']) confuses every downstream null-check and creates spurious duplicates on PK fields.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Coerce ['', 'N/A', 'NA', 'NULL', 'NaN', 'NaT', 'None', 'n/a', 'nan', 'none', 'null'] -&gt; null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100,000</w:t>
            </w:r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N1.Trader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Trader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Multiple null tokens for the same logical state (['', 'N/A', 'NA', 'NULL', 'NaN', 'NaT', 'None', 'n/a', 'nan', 'none', 'null']) confuses every downstream null-check and creates spurious duplicates on PK fields.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Coerce ['', 'N/A', 'NA', 'NULL', 'NaN', 'NaT', 'None', 'n/a', 'nan', 'none', 'null'] -&gt; null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157,093</w:t>
            </w:r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N1.Flags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Flags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Multiple null tokens for the same logical state (['', 'N/A', 'NA', 'NULL', 'NaN', 'NaT', 'None', 'n/a', 'nan', 'none', 'null']) confuses every downstream null-check and creates spurious duplicates on PK fields.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Coerce ['', 'N/A', 'NA', 'NULL', 'NaN', 'NaT', 'None', 'n/a', 'nan', 'none', 'null'] -&gt; null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231,005</w:t>
            </w:r>
          </w:p>
        </w:tc>
      </w:tr>
    </w:tbl>
    <w:p/>
    <w:p>
      <w:pPr>
        <w:pStyle w:val="Heading2"/>
      </w:pPr>
      <w:r>
        <w:rPr>
          <w:color w:val="1F3A5F"/>
        </w:rPr>
        <w:t>3.2 N2 — MessageType case normalisation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N2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MessageType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Three case-variants of each enum value present ('New Order' / 'NEW ORDER' / 'new order'). Any case-sensitive downstream join, group-by, or surveillance rule will treat them as distinct event types.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Coerce to Title Case (canonical form).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7,476</w:t>
            </w:r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N2b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MessageType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Values that don't match the canonical enum after case normalisation are almost certainly column-shift contamination (e.g., an ISIN sitting in the MessageType column).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Flag rows where MessageType ∉ ['Cancel Order', 'Fill', 'New Order', 'Reject', 'Replace Order'] (no value change — Stage P2 will decide on recovery vs quarantine).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color w:val="1F3A5F"/>
        </w:rPr>
        <w:t>3.3 N3 — MessageDate format canonicalisation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N3a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MessageDate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≥6 distinct date formats present in this column, including the ambiguous DD-MM vs MM-DD case. Free-form date strings break downstream date logic and surveillance windowing.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Parse against an explicit format list ['%Y-%m-%d', '%d-%m-%Y', '%d-%m-%y', '%d/%m/%Y', '%m/%d/%Y', '%Y%m%d'] and re-emit as ISO YYYY-MM-DD. Per-format match counts: {"%Y-%m-%d": 234800, "%d-%m-%Y": 1591, "%d-%m-%y": 1564, "%d/%m/%Y": 2952, "%m/%d/%Y": 0, "%Y%m%d": 1522}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7,629</w:t>
            </w:r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N3b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MessageDate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Values that match NO known format (e.g., '0.0', '12.36') are column-shift artifacts where a Price value has shifted into the date column.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Set unparsable values to null and flag the row.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color w:val="1F3A5F"/>
        </w:rPr>
        <w:t>3.4 N4 — TransactionTime ISO validation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N4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TransactionTime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Timestamps must be ISO-8601 with millisecond precision and Z (UTC). Non-conforming values are column-shift artifacts (top examples: 'Sell', 'Buy', 'nan').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Set non-ISO timestamps to null and flag the row.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color w:val="1F3A5F"/>
        </w:rPr>
        <w:t>3.5 N5 — MessageId primary-key validation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N5a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MessageId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Primary keys must conform to the YYYY-MM-DD.RTnnn.P.nnn pattern. Values like '100', '400' (TotalVolume) and '1700' (TotalVolume) are column-shift contamination.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Set malformed PK values to null and flag the row (the row remains in the dataset but is now correctly identified as having a missing PK).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0</w:t>
            </w:r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N5b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MessageId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Primary keys cannot be null — a record with no PK cannot be deduplicated, reconciled to upstream OMS, or referenced by downstream Cancel/Fill events.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Flag rows with empty MessageId (kept in dataset but will be excluded from PK-dependent metrics in Stage P3).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4,714</w:t>
            </w:r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N5c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MessageId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Duplicate PKs imply either (a) replay-from-upstream, (b) merge artifacts from the malformed-quote contamination, or (c) seed-time duplication. Each requires a different remediation.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Detected 17,671 rows participating in PK duplicates (covering 8,916 duplicate occurrences). Flagged but not modified at P1.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17,671</w:t>
            </w:r>
          </w:p>
        </w:tc>
      </w:tr>
    </w:tbl>
    <w:p/>
    <w:p>
      <w:pPr>
        <w:pStyle w:val="Heading2"/>
      </w:pPr>
      <w:r>
        <w:rPr>
          <w:color w:val="1F3A5F"/>
        </w:rPr>
        <w:t>3.6 N6 — ISIN format validation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N6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ISIN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ISIN is a 12-character ISO 6166 identifier (2-letter country + 9 alnum + check digit). Non-conforming values include 'SYS_OMEGA' (column shift from TransactionSource) and any sub-12-char strings.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Set non-ISIN-shaped values to null and flag the row. NB: we validate format only, not the check-digit, in this stage.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color w:val="1F3A5F"/>
        </w:rPr>
        <w:t>3.7 N7 — BuyOrSell enum validation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N7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BuyOrSell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Side is a closed enum: ['Buy', 'Sell']. Observed contaminants include 'USD' (Currency) and 'SYS_OMEGA' (TransactionSource) — same shift signature as the other affected fields.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Set non-{Buy,Sell} values to null and flag the row.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color w:val="1F3A5F"/>
        </w:rPr>
        <w:t>3.8 N8 — Price coercion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N8a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Price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Price must be a non-negative decimal. Non-parseable strings indicate contamination.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Coerce to float; non-parseable -&gt; null + flag.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15</w:t>
            </w:r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N8b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Price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Negative prices are nonsensical for surveillance — a negative price cannot trigger any meaningful spoofing/layering/wash-trade rule.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Set negative prices to null + flag.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5,944</w:t>
            </w:r>
          </w:p>
        </w:tc>
      </w:tr>
    </w:tbl>
    <w:p/>
    <w:p>
      <w:pPr>
        <w:pStyle w:val="Heading2"/>
      </w:pPr>
      <w:r>
        <w:rPr>
          <w:color w:val="1F3A5F"/>
        </w:rPr>
        <w:t>3.9 N9 — TotalVolume coercion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N9a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TotalVolume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Volume must be a positive integer; zero or negative cannot produce a surveillance event.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Coerce to numeric; non-parseable or ≤0 -&gt; null + flag.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2,902</w:t>
            </w:r>
          </w:p>
        </w:tc>
      </w:tr>
    </w:tbl>
    <w:p/>
    <w:p>
      <w:pPr>
        <w:pStyle w:val="Heading2"/>
      </w:pPr>
      <w:r>
        <w:rPr>
          <w:color w:val="1F3A5F"/>
        </w:rPr>
        <w:t>3.10 N10 — Identifier format checks (flag-only)</w:t>
      </w:r>
    </w:p>
    <w:p>
      <w:r>
        <w:rPr>
          <w:b w:val="0"/>
          <w:i w:val="0"/>
          <w:sz w:val="20"/>
        </w:rPr>
        <w:t>Format checks on Account, CounterPartyFirm, Trader, ExchangeId. Flag-only — values are not nulled, because a value that doesn't match the pattern may still be informative (e.g., the firm may have legitimate format variations). The flags are surfaced for review.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N10.ACCOUNT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Account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Format check against ^[A-Z]{3,5}\d{1,3}\.[A-Z]+$. Non-matching values are likely contamination or schema drift; surfaced for review.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Flag-only (no value change at P1).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6,386</w:t>
            </w:r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N10.CPTY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CounterPartyFirm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Format check against ^[A-Z]{3,5}\d{1,3}\.[A-Z]+$. Non-matching values are likely contamination or schema drift; surfaced for review.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Flag-only (no value change at P1).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0</w:t>
            </w:r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N10.TRADER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Trader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Format check against ^TRD_\d{1,3}$. Non-matching values are likely contamination or schema drift; surfaced for review.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Flag-only (no value change at P1).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0</w:t>
            </w:r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N10.EXCH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ExchangeId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Format check against ^[A-Z]{2,6}$. Non-matching values are likely contamination or schema drift; surfaced for review.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Flag-only (no value change at P1).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2,688</w:t>
            </w:r>
          </w:p>
        </w:tc>
      </w:tr>
    </w:tbl>
    <w:p/>
    <w:p>
      <w:pPr>
        <w:pStyle w:val="Heading2"/>
      </w:pPr>
      <w:r>
        <w:rPr>
          <w:color w:val="1F3A5F"/>
        </w:rPr>
        <w:t>3.11 N11 — Column-shift score (row-level)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Rule ID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N11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(row-level)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A row that fails ≥2 independent format checks is almost certainly column-shifted (single random defects are unlikely to coincide). This is the population that Stage P2 will either re-align or quarantine.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Compute COLUMN_SHIFT_SCORE = sum of ['FLAG_MT_UNKNOWN_ENUM', 'FLAG_DATE_UNPARSABLE', 'FLAG_TT_NOT_ISO', 'FLAG_PK_INVALID', 'FLAG_ISIN_INVALID', 'FLAG_SIDE_INVALID']. Rows with score≥2 = 0.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affected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776"/>
      </w:tblGrid>
      <w:tr>
        <w:tc>
          <w:tcPr>
            <w:tcW w:type="dxa" w:w="5112"/>
            <w:shd w:val="clear" w:color="auto"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RESOLVED</w:t>
            </w:r>
          </w:p>
        </w:tc>
        <w:tc>
          <w:tcPr>
            <w:tcW w:type="dxa" w:w="5112"/>
            <w:shd w:val="clear" w:color="auto" w:fill="F4F6F8"/>
          </w:tcPr>
          <w:p>
            <w:r/>
            <w:r>
              <w:rPr>
                <w:b/>
                <w:sz w:val="18"/>
              </w:rPr>
              <w:t xml:space="preserve">F-P1-SHIFT — Column-shift was a parser artifact: </w:t>
            </w:r>
            <w:r>
              <w:rPr>
                <w:sz w:val="18"/>
              </w:rPr>
              <w:t>Zero rows trigger ≥2 cross-column shift indicators after the structural repair. The 'column shift' pattern observed in Stage 1 (ISINs in MessageType, Buy/Sell in TransactionTime, volumes in MessageId) was a downstream artifact of the unclosed-quote misparse — fields were reading from the wrong physical line, not from a wrong logical column. Now that csv.reader correctly absorbs the embedded line breaks, every value lands in its intended column. This is a meaningful simplification of the remediation surface.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4. Residual Defects (Real, Post-Repair)</w:t>
      </w:r>
    </w:p>
    <w:p>
      <w:r>
        <w:rPr>
          <w:b w:val="0"/>
          <w:i w:val="0"/>
          <w:sz w:val="20"/>
        </w:rPr>
        <w:t>After structural repair and value normalisation, four classes of defect remain. These are real DQ issues, not parser artifacts, and each requires a small judgement call rather than a mechanical fix.</w:t>
      </w:r>
    </w:p>
    <w:p>
      <w:pPr>
        <w:pStyle w:val="Heading2"/>
      </w:pPr>
      <w:r>
        <w:rPr>
          <w:color w:val="1F3A5F"/>
        </w:rPr>
        <w:t>4.1 PK duplicates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776"/>
      </w:tblGrid>
      <w:tr>
        <w:tc>
          <w:tcPr>
            <w:tcW w:type="dxa" w:w="5112"/>
            <w:shd w:val="clear" w:color="auto" w:fill="E67E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P1-HIGH</w:t>
            </w:r>
          </w:p>
        </w:tc>
        <w:tc>
          <w:tcPr>
            <w:tcW w:type="dxa" w:w="5112"/>
            <w:shd w:val="clear" w:color="auto" w:fill="F4F6F8"/>
          </w:tcPr>
          <w:p>
            <w:r/>
            <w:r>
              <w:rPr>
                <w:b/>
                <w:sz w:val="18"/>
              </w:rPr>
              <w:t xml:space="preserve">F-P1-DUP — Duplicate MessageIds: </w:t>
            </w:r>
            <w:r>
              <w:rPr>
                <w:sz w:val="18"/>
              </w:rPr>
              <w:t>17,671 rows participate in PK duplicates. Three possible causes — replay-from-upstream OMS, residual merge artifacts from the malformed-quote contamination, or deliberate seed-time duplication. Each has a different remediation: (a) replay = dedupe and keep latest, (b) merge artifact = rebuild from raw with a tighter quote-repair pass, (c) seed = leave for the metrics stage. Recommendation: surface a duplicate report to the data producer before any dedup is run in production.</w:t>
            </w:r>
          </w:p>
        </w:tc>
      </w:tr>
    </w:tbl>
    <w:p>
      <w:pPr>
        <w:pStyle w:val="Heading2"/>
      </w:pPr>
      <w:r>
        <w:rPr>
          <w:color w:val="1F3A5F"/>
        </w:rPr>
        <w:t>4.2 Negative prices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776"/>
      </w:tblGrid>
      <w:tr>
        <w:tc>
          <w:tcPr>
            <w:tcW w:type="dxa" w:w="5112"/>
            <w:shd w:val="clear" w:color="auto" w:fill="E67E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P1-HIGH</w:t>
            </w:r>
          </w:p>
        </w:tc>
        <w:tc>
          <w:tcPr>
            <w:tcW w:type="dxa" w:w="5112"/>
            <w:shd w:val="clear" w:color="auto" w:fill="F4F6F8"/>
          </w:tcPr>
          <w:p>
            <w:r/>
            <w:r>
              <w:rPr>
                <w:b/>
                <w:sz w:val="18"/>
              </w:rPr>
              <w:t xml:space="preserve">F-P1-NEGPX — Negative Price values: </w:t>
            </w:r>
            <w:r>
              <w:rPr>
                <w:sz w:val="18"/>
              </w:rPr>
              <w:t>5,944 rows have a negative Price after numeric coercion. In equity / OTC-derivative surveillance, a negative price is not physically meaningful and cannot trigger spoofing, layering, marking-the-close, or wash-trade rules. Set to null in the cleaned output and flagged. Producer should confirm whether negative prices are a seeded defect (most likely) or are emitted by any legitimate upstream system (e.g., commodity futures during stress events such as April-2020 WTI).</w:t>
            </w:r>
          </w:p>
        </w:tc>
      </w:tr>
    </w:tbl>
    <w:p>
      <w:pPr>
        <w:pStyle w:val="Heading2"/>
      </w:pPr>
      <w:r>
        <w:rPr>
          <w:color w:val="1F3A5F"/>
        </w:rPr>
        <w:t>4.3 Account format outliers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776"/>
      </w:tblGrid>
      <w:tr>
        <w:tc>
          <w:tcPr>
            <w:tcW w:type="dxa" w:w="5112"/>
            <w:shd w:val="clear" w:color="auto" w:fill="2980B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5112"/>
            <w:shd w:val="clear" w:color="auto" w:fill="F4F6F8"/>
          </w:tcPr>
          <w:p>
            <w:r/>
            <w:r>
              <w:rPr>
                <w:b/>
                <w:sz w:val="18"/>
              </w:rPr>
              <w:t xml:space="preserve">F-P1-ACCT — Account format outliers: </w:t>
            </w:r>
            <w:r>
              <w:rPr>
                <w:sz w:val="18"/>
              </w:rPr>
              <w:t>6,386 rows have Account values that don't match the canonical pattern ([A-Z]{3,5}\d{1,3}\.[A-Z]+). These may be legitimate format variation across desks; surfaced for review at Stage P2.</w:t>
            </w:r>
          </w:p>
        </w:tc>
      </w:tr>
    </w:tbl>
    <w:p>
      <w:pPr>
        <w:pStyle w:val="Heading2"/>
      </w:pPr>
      <w:r>
        <w:rPr>
          <w:color w:val="1F3A5F"/>
        </w:rPr>
        <w:t>4.4 ExchangeId format outliers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776"/>
      </w:tblGrid>
      <w:tr>
        <w:tc>
          <w:tcPr>
            <w:tcW w:type="dxa" w:w="5112"/>
            <w:shd w:val="clear" w:color="auto" w:fill="2980B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5112"/>
            <w:shd w:val="clear" w:color="auto" w:fill="F4F6F8"/>
          </w:tcPr>
          <w:p>
            <w:r/>
            <w:r>
              <w:rPr>
                <w:b/>
                <w:sz w:val="18"/>
              </w:rPr>
              <w:t xml:space="preserve">F-P1-EXCH — ExchangeId format outliers: </w:t>
            </w:r>
            <w:r>
              <w:rPr>
                <w:sz w:val="18"/>
              </w:rPr>
              <w:t>2,688 rows have ExchangeId values that don't match [A-Z]{2,6} after the N1 step removed placeholder nulls. Likely truncations or alternate codes — surfaced for review.</w:t>
            </w:r>
          </w:p>
        </w:tc>
      </w:tr>
    </w:tbl>
    <w:p>
      <w:pPr>
        <w:pStyle w:val="Heading2"/>
      </w:pPr>
      <w:r>
        <w:rPr>
          <w:color w:val="1F3A5F"/>
        </w:rPr>
        <w:t>4.5 Empty primary key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776"/>
      </w:tblGrid>
      <w:tr>
        <w:tc>
          <w:tcPr>
            <w:tcW w:type="dxa" w:w="5112"/>
            <w:shd w:val="clear" w:color="auto" w:fill="E67E2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P1-HIGH</w:t>
            </w:r>
          </w:p>
        </w:tc>
        <w:tc>
          <w:tcPr>
            <w:tcW w:type="dxa" w:w="5112"/>
            <w:shd w:val="clear" w:color="auto" w:fill="F4F6F8"/>
          </w:tcPr>
          <w:p>
            <w:r/>
            <w:r>
              <w:rPr>
                <w:b/>
                <w:sz w:val="18"/>
              </w:rPr>
              <w:t xml:space="preserve">F-P1-PKNULL — Empty MessageId: </w:t>
            </w:r>
            <w:r>
              <w:rPr>
                <w:sz w:val="18"/>
              </w:rPr>
              <w:t>4,714 rows have an empty MessageId. PK-null records cannot be deduplicated, reconciled to upstream OMS, or referenced by downstream Cancel/Fill events. These rows are kept in the cleaned output but will be excluded from PK-dependent metrics in Stage P3.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Per-Column Before/After</w:t>
      </w:r>
    </w:p>
    <w:p>
      <w:r>
        <w:rPr>
          <w:b w:val="0"/>
          <w:i w:val="0"/>
          <w:sz w:val="20"/>
        </w:rPr>
        <w:t>Stage-1 stats are computed on the raw file (with whitespace, mixed null tokens, etc.). Stage-P1 stats are computed on the post-cleanup output. All values are after strip in both stages for fairness of comparison.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0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Stage-1 %empty</w:t>
            </w:r>
          </w:p>
        </w:tc>
        <w:tc>
          <w:tcPr>
            <w:tcW w:type="dxa" w:w="170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Stage-1 nunique</w:t>
            </w:r>
          </w:p>
        </w:tc>
        <w:tc>
          <w:tcPr>
            <w:tcW w:type="dxa" w:w="170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P1 %null</w:t>
            </w:r>
          </w:p>
        </w:tc>
        <w:tc>
          <w:tcPr>
            <w:tcW w:type="dxa" w:w="170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P1 nunique</w:t>
            </w:r>
          </w:p>
        </w:tc>
        <w:tc>
          <w:tcPr>
            <w:tcW w:type="dxa" w:w="170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Δ nunique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ExchangeId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1,158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1.69%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-1,138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MessageType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822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-818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TransactionTime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140,934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241,785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+100,851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MessageDate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589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-587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MessageId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135,986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1.94%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228,799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+92,813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LinkMessageId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64,125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41.25%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94,939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+30,814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ParentOrderId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65,570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41.25%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98,279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+32,709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Instrument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373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-123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ISIN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6,587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11,277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+4,690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BuyOrSell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-2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31,752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2.46%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44,882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+13,130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TotalVolume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4,837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1.20%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5,752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+915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Account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1,043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1,744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+701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CounterPartyFirm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+0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Trader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64.80%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-1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TransactionSource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+0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+0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Flags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95.29%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+0</w:t>
            </w:r>
          </w:p>
        </w:tc>
      </w:tr>
    </w:tbl>
    <w:p>
      <w:r>
        <w:rPr>
          <w:b w:val="0"/>
          <w:i/>
          <w:sz w:val="18"/>
        </w:rPr>
        <w:t>Interpretation note: drops in nunique reflect the cleaning (case normalisation, null-token unification, format reformatting). Increases would indicate new variation introduced — none observed.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6. Row-Level Health</w:t>
      </w:r>
    </w:p>
    <w:p>
      <w:r>
        <w:rPr>
          <w:b w:val="0"/>
          <w:i w:val="0"/>
          <w:sz w:val="20"/>
        </w:rPr>
        <w:t>Every transformation produces a per-row flag. Some flags indicate a real defect (e.g., a negative Price, a duplicate PK, a case-fragmentation fix); others indicate a legitimate empty value that simply happens to share the null-detection code path (e.g., LinkMessageId is empty for parent New Order events, by design). We separate the two before computing 'row health'.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Total rows after P1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242,429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Rows with any defect-indicative flag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approx via sum-by-flag (see breakdown)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Total defect-flag firings (sum across rows; a row can contribute to multiple)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64,244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Total legitimate-empty-flag firings (informational)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588,098</w:t>
            </w:r>
          </w:p>
        </w:tc>
      </w:tr>
    </w:tbl>
    <w:p>
      <w:pPr>
        <w:pStyle w:val="Heading2"/>
      </w:pPr>
      <w:r>
        <w:rPr>
          <w:color w:val="1F3A5F"/>
        </w:rPr>
        <w:t>6.1 Defect-indicative flag 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Flag</w:t>
            </w:r>
          </w:p>
        </w:tc>
        <w:tc>
          <w:tcPr>
            <w:tcW w:type="dxa" w:w="5112"/>
          </w:tcPr>
          <w:p>
            <w:r>
              <w:t>Rows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FLAG_PK_DUPLICATE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17,671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FLAG_DATE_REFORMATTED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7,629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FLAG_MT_CASE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7,476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FLAG_ACCOUNT_FORMAT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6,386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FLAG_PRICE_NEGATIVE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5,944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FLAG_NULL_MessageId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4,714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FLAG_PK_NULL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4,714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FLAG_NULL_ExchangeId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4,105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FLAG_EXCH_FORMAT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2,688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FLAG_VOL_NONPOSITIVE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1,514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FLAG_VOL_UNPARSABLE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1,388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FLAG_PRICE_UNPARSABLE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FLAG_MT_UNKNOWN_ENUM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FLAG_DATE_UNPARSABLE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FLAG_TT_NOT_ISO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FLAG_PK_INVALID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FLAG_ISIN_INVALID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FLAG_SIDE_INVALID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FLAG_CPTY_FORMAT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FLAG_TRADER_FORMAT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rPr>
          <w:color w:val="1F3A5F"/>
        </w:rPr>
        <w:t>6.2 Legitimate-empty flag counts (informational 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Flag</w:t>
            </w:r>
          </w:p>
        </w:tc>
        <w:tc>
          <w:tcPr>
            <w:tcW w:type="dxa" w:w="5112"/>
          </w:tcPr>
          <w:p>
            <w:r>
              <w:t>Rows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FLAG_NULL_Flags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231,005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FLAG_NULL_Trader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157,093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FLAG_NULL_LinkMessageId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100,000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sz w:val="18"/>
              </w:rPr>
              <w:t>FLAG_NULL_ParentOrderId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100,000</w:t>
            </w:r>
          </w:p>
        </w:tc>
      </w:tr>
    </w:tbl>
    <w:p>
      <w:r>
        <w:rPr>
          <w:b w:val="0"/>
          <w:i/>
          <w:sz w:val="18"/>
        </w:rPr>
        <w:t>The legitimate-empty counts are kept in the output (rather than suppressed) so a future reader can verify they correspond to the expected business rules (e.g., parent New Orders have no LinkMessageId; algo-generated messages have no Trader; non-exception messages have no Flag). Confirming these business rules is part of Stage P2.</w:t>
      </w:r>
    </w:p>
    <w:p>
      <w:r>
        <w:br w:type="page"/>
      </w:r>
    </w:p>
    <w:p>
      <w:pPr>
        <w:pStyle w:val="Heading1"/>
      </w:pPr>
      <w:r>
        <w:rPr>
          <w:color w:val="1F3A5F"/>
        </w:rPr>
        <w:t>7. Open Questions / Deferred to Stage P2</w:t>
      </w:r>
    </w:p>
    <w:p>
      <w:pPr>
        <w:pStyle w:val="ListBullet"/>
      </w:pPr>
      <w:r>
        <w:t>Confirm the 17,671 PK duplicates are seed-time and not residual merge artifacts. If the latter, a tighter quote-repair pass on the raw file may improve recovery further.</w:t>
      </w:r>
    </w:p>
    <w:p>
      <w:pPr>
        <w:pStyle w:val="ListBullet"/>
      </w:pPr>
      <w:r>
        <w:t>Confirm with producer that negative Prices are seeded defects (no legitimate equity surveillance event has a negative price).</w:t>
      </w:r>
    </w:p>
    <w:p>
      <w:pPr>
        <w:pStyle w:val="ListBullet"/>
      </w:pPr>
      <w:r>
        <w:t>Validate the Account format pattern — the 6,386 outliers may be legitimate variation across desks or genuine corruption.</w:t>
      </w:r>
    </w:p>
    <w:p>
      <w:pPr>
        <w:pStyle w:val="ListBullet"/>
      </w:pPr>
      <w:r>
        <w:t>Confirm the LinkMessageId / ParentOrderId semantic distinction. Their populated rates are near-identical; if they are effectively duplicates, the schema can be simplified.</w:t>
      </w:r>
    </w:p>
    <w:p>
      <w:pPr>
        <w:pStyle w:val="ListBullet"/>
      </w:pPr>
      <w:r>
        <w:t>The Flags-column's only non-empty value remains 'Unmatched to Market Data from Vendor' (~6.6K rows). Promote this to a Stage-P3 surveillance-gap metric.</w:t>
      </w:r>
    </w:p>
    <w:p>
      <w:pPr>
        <w:pStyle w:val="ListBullet"/>
      </w:pPr>
      <w:r>
        <w:t>The Trader null rate (~65% of rows) is large. P2 should cross-tab by MessageType to verify algo/system events legitimately carry no trader.</w:t>
      </w:r>
    </w:p>
    <w:p>
      <w:r>
        <w:br w:type="page"/>
      </w:r>
    </w:p>
    <w:p>
      <w:pPr>
        <w:pStyle w:val="Heading1"/>
      </w:pPr>
      <w:r>
        <w:rPr>
          <w:color w:val="1F3A5F"/>
        </w:rPr>
        <w:t>Appendix A — Reproducibility</w:t>
      </w:r>
    </w:p>
    <w:p>
      <w:pPr>
        <w:pStyle w:val="ListBullet"/>
      </w:pPr>
      <w:r>
        <w:rPr>
          <w:rFonts w:ascii="Consolas" w:hAnsi="Consolas"/>
          <w:sz w:val="18"/>
        </w:rPr>
        <w:t>case-study/analysis/05_repair_structural.py    — structural repair</w:t>
      </w:r>
    </w:p>
    <w:p>
      <w:pPr>
        <w:pStyle w:val="ListBullet"/>
      </w:pPr>
      <w:r>
        <w:rPr>
          <w:rFonts w:ascii="Consolas" w:hAnsi="Consolas"/>
          <w:sz w:val="18"/>
        </w:rPr>
        <w:t>case-study/analysis/06_normalize_values.py     — value-level normalisation</w:t>
      </w:r>
    </w:p>
    <w:p>
      <w:pPr>
        <w:pStyle w:val="ListBullet"/>
      </w:pPr>
      <w:r>
        <w:rPr>
          <w:rFonts w:ascii="Consolas" w:hAnsi="Consolas"/>
          <w:sz w:val="18"/>
        </w:rPr>
        <w:t>case-study/analysis/07_post_p1_profile.py      — post-P1 profile</w:t>
      </w:r>
    </w:p>
    <w:p>
      <w:pPr>
        <w:pStyle w:val="ListBullet"/>
      </w:pPr>
      <w:r>
        <w:rPr>
          <w:rFonts w:ascii="Consolas" w:hAnsi="Consolas"/>
          <w:sz w:val="18"/>
        </w:rPr>
        <w:t>case-study/analysis/08_generate_p1_doc.py      — this document</w:t>
      </w:r>
    </w:p>
    <w:p>
      <w:r>
        <w:rPr>
          <w:b w:val="0"/>
          <w:i w:val="0"/>
          <w:sz w:val="20"/>
        </w:rPr>
        <w:t>Running the scripts in order regenerates every artifact (TSVs, JSONs, this docx) without manual intervention.</w:t>
      </w:r>
    </w:p>
    <w:p>
      <w:pPr>
        <w:pStyle w:val="Heading2"/>
      </w:pPr>
      <w:r>
        <w:rPr>
          <w:color w:val="1F3A5F"/>
        </w:rPr>
        <w:t>Appendix B — Severity legend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P1-CRITICAL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Breaks ingestion or primary-key integrity.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P1-HIGH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Breaks downstream joins, enum validation, or schema contracts.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P2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Accuracy / efficacy concern — defer to Stage P2.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RESOLVED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Stage-1 defect now resolved by the P1 pipeline.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5112"/>
          </w:tcPr>
          <w:p>
            <w:r/>
            <w:r>
              <w:rPr>
                <w:sz w:val="18"/>
              </w:rPr>
              <w:t>Observation only — informational.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