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TD Securities — Trade Surveillance Case Study</w:t>
      </w:r>
    </w:p>
    <w:p>
      <w:pPr>
        <w:jc w:val="center"/>
      </w:pPr>
      <w:r>
        <w:rPr>
          <w:i/>
          <w:sz w:val="28"/>
        </w:rPr>
        <w:t>Stage P3 — Surveillance Data Quality Scorecard</w:t>
      </w:r>
    </w:p>
    <w:p>
      <w:pPr>
        <w:jc w:val="center"/>
      </w:pPr>
      <w:r>
        <w:rPr>
          <w:i/>
          <w:sz w:val="22"/>
        </w:rPr>
        <w:t>Recurring KPIs the surveillance team can run on every new vendor / producer feed</w:t>
      </w:r>
    </w:p>
    <w:p/>
    <w:p>
      <w:pPr>
        <w:jc w:val="center"/>
      </w:pPr>
      <w:r>
        <w:rPr>
          <w:sz w:val="20"/>
        </w:rPr>
        <w:t>Prepared by: Shravan Challa</w:t>
        <w:br/>
      </w:r>
      <w:r>
        <w:rPr>
          <w:sz w:val="20"/>
        </w:rPr>
        <w:t>Date: 2026-05-13</w:t>
        <w:br/>
      </w:r>
      <w:r>
        <w:rPr>
          <w:sz w:val="20"/>
        </w:rPr>
        <w:t>Input: cleaned_p1_final.tsv (242,429 records)</w:t>
        <w:br/>
      </w:r>
    </w:p>
    <w:p/>
    <w:p>
      <w:r>
        <w:rPr>
          <w:b/>
        </w:rPr>
        <w:t xml:space="preserve">Purpose. </w:t>
      </w:r>
      <w:r>
        <w:t>Priority 1 made the data ingestable. Priority 2 surfaced the surveillance-domain defects. Priority 3 turns those findings into a recurring scorecard the surveillance team can re-run on every new feed to decide (a) can we ingest, (b) which fields are populated, (c) is the lineage intact, (d) is the lifecycle coherent, (e) is reference data stable, (f) can we attribute every execution, (g) which rules can we actually run. Each metric carries a stable ID, a defensible target, a RED/AMBER/GREEN status, and an explicit owner so the report routes work to the right team.</w:t>
      </w:r>
    </w:p>
    <w:p>
      <w:r>
        <w:br w:type="page"/>
      </w:r>
    </w:p>
    <w:p>
      <w:pPr>
        <w:pStyle w:val="Heading1"/>
      </w:pPr>
      <w:r>
        <w:rPr>
          <w:color w:val="1F3A5F"/>
        </w:rPr>
        <w:t>Executive Read</w:t>
      </w:r>
    </w:p>
    <w:p>
      <w:r>
        <w:rPr>
          <w:b w:val="0"/>
          <w:i/>
          <w:sz w:val="20"/>
        </w:rPr>
        <w:t>Five headline KPIs and the status distribution. Open the per-theme sections for the full set.</w:t>
      </w:r>
    </w:p>
    <w:tbl>
      <w:tblPr>
        <w:tblStyle w:val="LightGrid-Accent1"/>
        <w:tblW w:type="auto" w:w="0"/>
        <w:tblLayout w:type="fixed"/>
        <w:tblLook w:firstColumn="1" w:firstRow="1" w:lastColumn="0" w:lastRow="0" w:noHBand="0" w:noVBand="1" w:val="04A0"/>
      </w:tblPr>
      <w:tblGrid>
        <w:gridCol w:w="3456"/>
        <w:gridCol w:w="1440"/>
        <w:gridCol w:w="1008"/>
        <w:gridCol w:w="4320"/>
      </w:tblGrid>
      <w:tr>
        <w:tc>
          <w:tcPr>
            <w:tcW w:type="dxa" w:w="2556"/>
            <w:shd w:val="clear" w:color="auto" w:fill="1F3A5F"/>
          </w:tcPr>
          <w:p>
            <w:r/>
            <w:r>
              <w:rPr>
                <w:b/>
                <w:color w:val="FFFFFF"/>
                <w:sz w:val="18"/>
              </w:rPr>
              <w:t>KPI</w:t>
            </w:r>
          </w:p>
        </w:tc>
        <w:tc>
          <w:tcPr>
            <w:tcW w:type="dxa" w:w="2556"/>
            <w:shd w:val="clear" w:color="auto" w:fill="1F3A5F"/>
          </w:tcPr>
          <w:p>
            <w:r/>
            <w:r>
              <w:rPr>
                <w:b/>
                <w:color w:val="FFFFFF"/>
                <w:sz w:val="18"/>
              </w:rPr>
              <w:t>Value</w:t>
            </w:r>
          </w:p>
        </w:tc>
        <w:tc>
          <w:tcPr>
            <w:tcW w:type="dxa" w:w="2556"/>
            <w:shd w:val="clear" w:color="auto" w:fill="1F3A5F"/>
          </w:tcPr>
          <w:p>
            <w:r/>
            <w:r>
              <w:rPr>
                <w:b/>
                <w:color w:val="FFFFFF"/>
                <w:sz w:val="18"/>
              </w:rPr>
              <w:t>Status</w:t>
            </w:r>
          </w:p>
        </w:tc>
        <w:tc>
          <w:tcPr>
            <w:tcW w:type="dxa" w:w="2556"/>
            <w:shd w:val="clear" w:color="auto" w:fill="1F3A5F"/>
          </w:tcPr>
          <w:p>
            <w:r/>
            <w:r>
              <w:rPr>
                <w:b/>
                <w:color w:val="FFFFFF"/>
                <w:sz w:val="18"/>
              </w:rPr>
              <w:t>What it tells us</w:t>
            </w:r>
          </w:p>
        </w:tc>
      </w:tr>
      <w:tr>
        <w:tc>
          <w:tcPr>
            <w:tcW w:type="dxa" w:w="2556"/>
          </w:tcPr>
          <w:p>
            <w:r/>
            <w:r>
              <w:rPr>
                <w:sz w:val="18"/>
              </w:rPr>
              <w:t>Ingestion parse rate</w:t>
            </w:r>
          </w:p>
        </w:tc>
        <w:tc>
          <w:tcPr>
            <w:tcW w:type="dxa" w:w="2556"/>
          </w:tcPr>
          <w:p>
            <w:r/>
            <w:r>
              <w:rPr>
                <w:b/>
                <w:sz w:val="20"/>
              </w:rPr>
              <w:t>96.70%</w:t>
            </w:r>
          </w:p>
        </w:tc>
        <w:tc>
          <w:tcPr>
            <w:tcW w:type="dxa" w:w="2556"/>
            <w:shd w:val="clear" w:color="auto" w:fill="27AE60"/>
          </w:tcPr>
          <w:p>
            <w:pPr>
              <w:jc w:val="center"/>
            </w:pPr>
            <w:r/>
            <w:r>
              <w:rPr>
                <w:b/>
                <w:color w:val="FFFFFF"/>
                <w:sz w:val="16"/>
              </w:rPr>
              <w:t>GREEN</w:t>
            </w:r>
          </w:p>
        </w:tc>
        <w:tc>
          <w:tcPr>
            <w:tcW w:type="dxa" w:w="2556"/>
          </w:tcPr>
          <w:p>
            <w:r/>
            <w:r>
              <w:rPr>
                <w:sz w:val="17"/>
              </w:rPr>
              <w:t>Records that survive ingestion as a percentage of raw data lines. Direct JPM-case completeness analogue.</w:t>
            </w:r>
          </w:p>
        </w:tc>
      </w:tr>
      <w:tr>
        <w:tc>
          <w:tcPr>
            <w:tcW w:type="dxa" w:w="2556"/>
          </w:tcPr>
          <w:p>
            <w:r/>
            <w:r>
              <w:rPr>
                <w:sz w:val="18"/>
              </w:rPr>
              <w:t>Fill attribution rate</w:t>
            </w:r>
          </w:p>
        </w:tc>
        <w:tc>
          <w:tcPr>
            <w:tcW w:type="dxa" w:w="2556"/>
          </w:tcPr>
          <w:p>
            <w:r/>
            <w:r>
              <w:rPr>
                <w:b/>
                <w:sz w:val="20"/>
              </w:rPr>
              <w:t>35.13%</w:t>
            </w:r>
          </w:p>
        </w:tc>
        <w:tc>
          <w:tcPr>
            <w:tcW w:type="dxa" w:w="2556"/>
            <w:shd w:val="clear" w:color="auto" w:fill="C0392B"/>
          </w:tcPr>
          <w:p>
            <w:pPr>
              <w:jc w:val="center"/>
            </w:pPr>
            <w:r/>
            <w:r>
              <w:rPr>
                <w:b/>
                <w:color w:val="FFFFFF"/>
                <w:sz w:val="16"/>
              </w:rPr>
              <w:t>RED</w:t>
            </w:r>
          </w:p>
        </w:tc>
        <w:tc>
          <w:tcPr>
            <w:tcW w:type="dxa" w:w="2556"/>
          </w:tcPr>
          <w:p>
            <w:r/>
            <w:r>
              <w:rPr>
                <w:sz w:val="17"/>
              </w:rPr>
              <w:t>Reg-best-execution + MAR market-abuse attribution coverage. Currently 65% of fills cannot be tied to a human.</w:t>
            </w:r>
          </w:p>
        </w:tc>
      </w:tr>
      <w:tr>
        <w:tc>
          <w:tcPr>
            <w:tcW w:type="dxa" w:w="2556"/>
          </w:tcPr>
          <w:p>
            <w:r/>
            <w:r>
              <w:rPr>
                <w:sz w:val="18"/>
              </w:rPr>
              <w:t>Instrument-&gt;ISIN drift rate</w:t>
            </w:r>
          </w:p>
        </w:tc>
        <w:tc>
          <w:tcPr>
            <w:tcW w:type="dxa" w:w="2556"/>
          </w:tcPr>
          <w:p>
            <w:r/>
            <w:r>
              <w:rPr>
                <w:b/>
                <w:sz w:val="20"/>
              </w:rPr>
              <w:t>88.80%</w:t>
            </w:r>
          </w:p>
        </w:tc>
        <w:tc>
          <w:tcPr>
            <w:tcW w:type="dxa" w:w="2556"/>
            <w:shd w:val="clear" w:color="auto" w:fill="C0392B"/>
          </w:tcPr>
          <w:p>
            <w:pPr>
              <w:jc w:val="center"/>
            </w:pPr>
            <w:r/>
            <w:r>
              <w:rPr>
                <w:b/>
                <w:color w:val="FFFFFF"/>
                <w:sz w:val="16"/>
              </w:rPr>
              <w:t>RED</w:t>
            </w:r>
          </w:p>
        </w:tc>
        <w:tc>
          <w:tcPr>
            <w:tcW w:type="dxa" w:w="2556"/>
          </w:tcPr>
          <w:p>
            <w:r/>
            <w:r>
              <w:rPr>
                <w:sz w:val="17"/>
              </w:rPr>
              <w:t>Per-instrument surveillance rules (price outlier, position aggregation, market-data join) are unreliable until this is resolved.</w:t>
            </w:r>
          </w:p>
        </w:tc>
      </w:tr>
      <w:tr>
        <w:tc>
          <w:tcPr>
            <w:tcW w:type="dxa" w:w="2556"/>
          </w:tcPr>
          <w:p>
            <w:r/>
            <w:r>
              <w:rPr>
                <w:sz w:val="18"/>
              </w:rPr>
              <w:t>Account == CounterPartyFirm collapse</w:t>
            </w:r>
          </w:p>
        </w:tc>
        <w:tc>
          <w:tcPr>
            <w:tcW w:type="dxa" w:w="2556"/>
          </w:tcPr>
          <w:p>
            <w:r/>
            <w:r>
              <w:rPr>
                <w:b/>
                <w:sz w:val="20"/>
              </w:rPr>
              <w:t>97.37%</w:t>
            </w:r>
          </w:p>
        </w:tc>
        <w:tc>
          <w:tcPr>
            <w:tcW w:type="dxa" w:w="2556"/>
            <w:shd w:val="clear" w:color="auto" w:fill="C0392B"/>
          </w:tcPr>
          <w:p>
            <w:pPr>
              <w:jc w:val="center"/>
            </w:pPr>
            <w:r/>
            <w:r>
              <w:rPr>
                <w:b/>
                <w:color w:val="FFFFFF"/>
                <w:sz w:val="16"/>
              </w:rPr>
              <w:t>RED</w:t>
            </w:r>
          </w:p>
        </w:tc>
        <w:tc>
          <w:tcPr>
            <w:tcW w:type="dxa" w:w="2556"/>
          </w:tcPr>
          <w:p>
            <w:r/>
            <w:r>
              <w:rPr>
                <w:sz w:val="17"/>
              </w:rPr>
              <w:t>Account granularity is masked on 97% of rows. Wash-trade rules cannot isolate one account inside a firm.</w:t>
            </w:r>
          </w:p>
        </w:tc>
      </w:tr>
      <w:tr>
        <w:tc>
          <w:tcPr>
            <w:tcW w:type="dxa" w:w="2556"/>
          </w:tcPr>
          <w:p>
            <w:r/>
            <w:r>
              <w:rPr>
                <w:sz w:val="18"/>
              </w:rPr>
              <w:t>Orphaned parent reference rate</w:t>
            </w:r>
          </w:p>
        </w:tc>
        <w:tc>
          <w:tcPr>
            <w:tcW w:type="dxa" w:w="2556"/>
          </w:tcPr>
          <w:p>
            <w:r/>
            <w:r>
              <w:rPr>
                <w:b/>
                <w:sz w:val="20"/>
              </w:rPr>
              <w:t>9.92%</w:t>
            </w:r>
          </w:p>
        </w:tc>
        <w:tc>
          <w:tcPr>
            <w:tcW w:type="dxa" w:w="2556"/>
            <w:shd w:val="clear" w:color="auto" w:fill="C0392B"/>
          </w:tcPr>
          <w:p>
            <w:pPr>
              <w:jc w:val="center"/>
            </w:pPr>
            <w:r/>
            <w:r>
              <w:rPr>
                <w:b/>
                <w:color w:val="FFFFFF"/>
                <w:sz w:val="16"/>
              </w:rPr>
              <w:t>RED</w:t>
            </w:r>
          </w:p>
        </w:tc>
        <w:tc>
          <w:tcPr>
            <w:tcW w:type="dxa" w:w="2556"/>
          </w:tcPr>
          <w:p>
            <w:r/>
            <w:r>
              <w:rPr>
                <w:sz w:val="17"/>
              </w:rPr>
              <w:t>1 in 10 child events cannot be tied to its parent order. Lifecycle reconstruction has 10% holes.</w:t>
            </w:r>
          </w:p>
        </w:tc>
      </w:tr>
    </w:tbl>
    <w:p/>
    <w:p>
      <w:r>
        <w:rPr>
          <w:b/>
          <w:i w:val="0"/>
        </w:rPr>
        <w:t>Status distribution across all 44 metrics:</w:t>
      </w:r>
    </w:p>
    <w:tbl>
      <w:tblPr>
        <w:tblStyle w:val="LightGrid-Accent1"/>
        <w:tblW w:type="auto" w:w="0"/>
        <w:tblLook w:firstColumn="1" w:firstRow="1" w:lastColumn="0" w:lastRow="0" w:noHBand="0" w:noVBand="1" w:val="04A0"/>
      </w:tblPr>
      <w:tblGrid>
        <w:gridCol w:w="3408"/>
        <w:gridCol w:w="3408"/>
        <w:gridCol w:w="3408"/>
      </w:tblGrid>
      <w:tr>
        <w:tc>
          <w:tcPr>
            <w:tcW w:type="dxa" w:w="3408"/>
            <w:shd w:val="clear" w:color="auto" w:fill="27AE60"/>
          </w:tcPr>
          <w:p>
            <w:pPr>
              <w:jc w:val="center"/>
            </w:pPr>
            <w:r/>
            <w:r>
              <w:rPr>
                <w:b/>
                <w:color w:val="FFFFFF"/>
                <w:sz w:val="22"/>
              </w:rPr>
              <w:t>GREEN: 21</w:t>
            </w:r>
          </w:p>
        </w:tc>
        <w:tc>
          <w:tcPr>
            <w:tcW w:type="dxa" w:w="3408"/>
            <w:shd w:val="clear" w:color="auto" w:fill="E67E22"/>
          </w:tcPr>
          <w:p>
            <w:pPr>
              <w:jc w:val="center"/>
            </w:pPr>
            <w:r/>
            <w:r>
              <w:rPr>
                <w:b/>
                <w:color w:val="FFFFFF"/>
                <w:sz w:val="22"/>
              </w:rPr>
              <w:t>AMBER: 6</w:t>
            </w:r>
          </w:p>
        </w:tc>
        <w:tc>
          <w:tcPr>
            <w:tcW w:type="dxa" w:w="3408"/>
            <w:shd w:val="clear" w:color="auto" w:fill="C0392B"/>
          </w:tcPr>
          <w:p>
            <w:pPr>
              <w:jc w:val="center"/>
            </w:pPr>
            <w:r/>
            <w:r>
              <w:rPr>
                <w:b/>
                <w:color w:val="FFFFFF"/>
                <w:sz w:val="22"/>
              </w:rPr>
              <w:t>RED: 17</w:t>
            </w:r>
          </w:p>
        </w:tc>
      </w:tr>
    </w:tbl>
    <w:p/>
    <w:p>
      <w:r>
        <w:rPr>
          <w:b/>
          <w:i w:val="0"/>
        </w:rPr>
        <w:t>Reading guide:</w:t>
      </w:r>
    </w:p>
    <w:p>
      <w:r>
        <w:rPr>
          <w:b/>
        </w:rPr>
        <w:t xml:space="preserve">RED </w:t>
      </w:r>
      <w:r>
        <w:t xml:space="preserve">means a surveillance rule will be unreliable on this feed OR a regulator-exam gap exists. </w:t>
      </w:r>
      <w:r>
        <w:rPr>
          <w:b/>
        </w:rPr>
        <w:t xml:space="preserve">AMBER </w:t>
      </w:r>
      <w:r>
        <w:t xml:space="preserve">means the data is workable but worth tracking. </w:t>
      </w:r>
      <w:r>
        <w:rPr>
          <w:b/>
        </w:rPr>
        <w:t xml:space="preserve">GREEN </w:t>
      </w:r>
      <w:r>
        <w:t xml:space="preserve">means no surveillance impact on this feed. </w:t>
      </w:r>
      <w:r>
        <w:rPr>
          <w:b/>
        </w:rPr>
        <w:t xml:space="preserve">Owners: </w:t>
      </w:r>
      <w:r>
        <w:t>'Producer' = the upstream system needs to fix the data; 'Surveillance team' = the rule logic / threshold belongs to TD; 'Both' = a coordinated change is required.</w:t>
      </w:r>
    </w:p>
    <w:p>
      <w:r>
        <w:br w:type="page"/>
      </w:r>
    </w:p>
    <w:p>
      <w:pPr>
        <w:pStyle w:val="Heading1"/>
      </w:pPr>
      <w:r>
        <w:rPr>
          <w:color w:val="1F3A5F"/>
        </w:rPr>
        <w:t>M1 — Ingestion completeness</w:t>
      </w:r>
    </w:p>
    <w:tbl>
      <w:tblPr>
        <w:tblStyle w:val="LightGrid-Accent1"/>
        <w:tblW w:type="auto" w:w="0"/>
        <w:tblLayout w:type="fixed"/>
        <w:tblLook w:firstColumn="1" w:firstRow="1" w:lastColumn="0" w:lastRow="0" w:noHBand="0" w:noVBand="1" w:val="04A0"/>
      </w:tblPr>
      <w:tblGrid>
        <w:gridCol w:w="792"/>
        <w:gridCol w:w="3024"/>
        <w:gridCol w:w="1368"/>
        <w:gridCol w:w="2016"/>
        <w:gridCol w:w="1008"/>
        <w:gridCol w:w="1224"/>
      </w:tblGrid>
      <w:tr>
        <w:tc>
          <w:tcPr>
            <w:tcW w:type="dxa" w:w="1704"/>
            <w:shd w:val="clear" w:color="auto" w:fill="1F3A5F"/>
          </w:tcPr>
          <w:p>
            <w:r/>
            <w:r>
              <w:rPr>
                <w:b/>
                <w:color w:val="FFFFFF"/>
                <w:sz w:val="18"/>
              </w:rPr>
              <w:t>ID</w:t>
            </w:r>
          </w:p>
        </w:tc>
        <w:tc>
          <w:tcPr>
            <w:tcW w:type="dxa" w:w="1704"/>
            <w:shd w:val="clear" w:color="auto" w:fill="1F3A5F"/>
          </w:tcPr>
          <w:p>
            <w:r/>
            <w:r>
              <w:rPr>
                <w:b/>
                <w:color w:val="FFFFFF"/>
                <w:sz w:val="18"/>
              </w:rPr>
              <w:t>Metric</w:t>
            </w:r>
          </w:p>
        </w:tc>
        <w:tc>
          <w:tcPr>
            <w:tcW w:type="dxa" w:w="1704"/>
            <w:shd w:val="clear" w:color="auto" w:fill="1F3A5F"/>
          </w:tcPr>
          <w:p>
            <w:r/>
            <w:r>
              <w:rPr>
                <w:b/>
                <w:color w:val="FFFFFF"/>
                <w:sz w:val="18"/>
              </w:rPr>
              <w:t>Value</w:t>
            </w:r>
          </w:p>
        </w:tc>
        <w:tc>
          <w:tcPr>
            <w:tcW w:type="dxa" w:w="1704"/>
            <w:shd w:val="clear" w:color="auto" w:fill="1F3A5F"/>
          </w:tcPr>
          <w:p>
            <w:r/>
            <w:r>
              <w:rPr>
                <w:b/>
                <w:color w:val="FFFFFF"/>
                <w:sz w:val="18"/>
              </w:rPr>
              <w:t>Target</w:t>
            </w:r>
          </w:p>
        </w:tc>
        <w:tc>
          <w:tcPr>
            <w:tcW w:type="dxa" w:w="1704"/>
            <w:shd w:val="clear" w:color="auto" w:fill="1F3A5F"/>
          </w:tcPr>
          <w:p>
            <w:r/>
            <w:r>
              <w:rPr>
                <w:b/>
                <w:color w:val="FFFFFF"/>
                <w:sz w:val="18"/>
              </w:rPr>
              <w:t>Status</w:t>
            </w:r>
          </w:p>
        </w:tc>
        <w:tc>
          <w:tcPr>
            <w:tcW w:type="dxa" w:w="1704"/>
            <w:shd w:val="clear" w:color="auto" w:fill="1F3A5F"/>
          </w:tcPr>
          <w:p>
            <w:r/>
            <w:r>
              <w:rPr>
                <w:b/>
                <w:color w:val="FFFFFF"/>
                <w:sz w:val="18"/>
              </w:rPr>
              <w:t>Owner</w:t>
            </w:r>
          </w:p>
        </w:tc>
      </w:tr>
      <w:tr>
        <w:tc>
          <w:tcPr>
            <w:tcW w:type="dxa" w:w="1704"/>
          </w:tcPr>
          <w:p>
            <w:r/>
            <w:r>
              <w:rPr>
                <w:sz w:val="17"/>
              </w:rPr>
              <w:t>M1.1</w:t>
            </w:r>
          </w:p>
        </w:tc>
        <w:tc>
          <w:tcPr>
            <w:tcW w:type="dxa" w:w="1704"/>
          </w:tcPr>
          <w:p>
            <w:r/>
            <w:r>
              <w:rPr>
                <w:sz w:val="17"/>
              </w:rPr>
              <w:t>Raw data line count</w:t>
            </w:r>
          </w:p>
        </w:tc>
        <w:tc>
          <w:tcPr>
            <w:tcW w:type="dxa" w:w="1704"/>
          </w:tcPr>
          <w:p>
            <w:r/>
            <w:r>
              <w:rPr>
                <w:sz w:val="17"/>
              </w:rPr>
              <w:t>250714 records</w:t>
            </w:r>
          </w:p>
        </w:tc>
        <w:tc>
          <w:tcPr>
            <w:tcW w:type="dxa" w:w="1704"/>
          </w:tcPr>
          <w:p>
            <w:r/>
            <w:r>
              <w:rPr>
                <w:sz w:val="17"/>
              </w:rPr>
              <w:t>n/a (input volume)</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r>
        <w:tc>
          <w:tcPr>
            <w:tcW w:type="dxa" w:w="1704"/>
          </w:tcPr>
          <w:p>
            <w:r/>
            <w:r>
              <w:rPr>
                <w:sz w:val="17"/>
              </w:rPr>
              <w:t>M1.2</w:t>
            </w:r>
          </w:p>
        </w:tc>
        <w:tc>
          <w:tcPr>
            <w:tcW w:type="dxa" w:w="1704"/>
          </w:tcPr>
          <w:p>
            <w:r/>
            <w:r>
              <w:rPr>
                <w:sz w:val="17"/>
              </w:rPr>
              <w:t>Records ingested after P1 repair</w:t>
            </w:r>
          </w:p>
        </w:tc>
        <w:tc>
          <w:tcPr>
            <w:tcW w:type="dxa" w:w="1704"/>
          </w:tcPr>
          <w:p>
            <w:r/>
            <w:r>
              <w:rPr>
                <w:sz w:val="17"/>
              </w:rPr>
              <w:t>242429 records</w:t>
            </w:r>
          </w:p>
        </w:tc>
        <w:tc>
          <w:tcPr>
            <w:tcW w:type="dxa" w:w="1704"/>
          </w:tcPr>
          <w:p>
            <w:r/>
            <w:r>
              <w:rPr>
                <w:sz w:val="17"/>
              </w:rPr>
              <w:t>238,178 (&gt;=95% of raw lines)</w:t>
            </w:r>
          </w:p>
        </w:tc>
        <w:tc>
          <w:tcPr>
            <w:tcW w:type="dxa" w:w="1704"/>
            <w:shd w:val="clear" w:color="auto" w:fill="27AE60"/>
          </w:tcPr>
          <w:p>
            <w:pPr>
              <w:jc w:val="center"/>
            </w:pPr>
            <w:r/>
            <w:r>
              <w:rPr>
                <w:b/>
                <w:color w:val="FFFFFF"/>
                <w:sz w:val="16"/>
              </w:rPr>
              <w:t>GREEN</w:t>
            </w:r>
          </w:p>
        </w:tc>
        <w:tc>
          <w:tcPr>
            <w:tcW w:type="dxa" w:w="1704"/>
          </w:tcPr>
          <w:p>
            <w:r/>
            <w:r>
              <w:rPr>
                <w:sz w:val="17"/>
              </w:rPr>
              <w:t>Both</w:t>
            </w:r>
          </w:p>
        </w:tc>
      </w:tr>
      <w:tr>
        <w:tc>
          <w:tcPr>
            <w:tcW w:type="dxa" w:w="1704"/>
          </w:tcPr>
          <w:p>
            <w:r/>
            <w:r>
              <w:rPr>
                <w:sz w:val="17"/>
              </w:rPr>
              <w:t>M1.3</w:t>
            </w:r>
          </w:p>
        </w:tc>
        <w:tc>
          <w:tcPr>
            <w:tcW w:type="dxa" w:w="1704"/>
          </w:tcPr>
          <w:p>
            <w:r/>
            <w:r>
              <w:rPr>
                <w:sz w:val="17"/>
              </w:rPr>
              <w:t>Parse rate vs raw lines</w:t>
            </w:r>
          </w:p>
        </w:tc>
        <w:tc>
          <w:tcPr>
            <w:tcW w:type="dxa" w:w="1704"/>
          </w:tcPr>
          <w:p>
            <w:r/>
            <w:r>
              <w:rPr>
                <w:sz w:val="17"/>
              </w:rPr>
              <w:t>96.7 pct</w:t>
            </w:r>
          </w:p>
        </w:tc>
        <w:tc>
          <w:tcPr>
            <w:tcW w:type="dxa" w:w="1704"/>
          </w:tcPr>
          <w:p>
            <w:r/>
            <w:r>
              <w:rPr>
                <w:sz w:val="17"/>
              </w:rPr>
              <w:t>&gt;= 95.0%</w:t>
            </w:r>
          </w:p>
        </w:tc>
        <w:tc>
          <w:tcPr>
            <w:tcW w:type="dxa" w:w="1704"/>
            <w:shd w:val="clear" w:color="auto" w:fill="27AE60"/>
          </w:tcPr>
          <w:p>
            <w:pPr>
              <w:jc w:val="center"/>
            </w:pPr>
            <w:r/>
            <w:r>
              <w:rPr>
                <w:b/>
                <w:color w:val="FFFFFF"/>
                <w:sz w:val="16"/>
              </w:rPr>
              <w:t>GREEN</w:t>
            </w:r>
          </w:p>
        </w:tc>
        <w:tc>
          <w:tcPr>
            <w:tcW w:type="dxa" w:w="1704"/>
          </w:tcPr>
          <w:p>
            <w:r/>
            <w:r>
              <w:rPr>
                <w:sz w:val="17"/>
              </w:rPr>
              <w:t>Both</w:t>
            </w:r>
          </w:p>
        </w:tc>
      </w:tr>
      <w:tr>
        <w:tc>
          <w:tcPr>
            <w:tcW w:type="dxa" w:w="1704"/>
          </w:tcPr>
          <w:p>
            <w:r/>
            <w:r>
              <w:rPr>
                <w:sz w:val="17"/>
              </w:rPr>
              <w:t>M1.4</w:t>
            </w:r>
          </w:p>
        </w:tc>
        <w:tc>
          <w:tcPr>
            <w:tcW w:type="dxa" w:w="1704"/>
          </w:tcPr>
          <w:p>
            <w:r/>
            <w:r>
              <w:rPr>
                <w:sz w:val="17"/>
              </w:rPr>
              <w:t>Quarantine bucket size after P1</w:t>
            </w:r>
          </w:p>
        </w:tc>
        <w:tc>
          <w:tcPr>
            <w:tcW w:type="dxa" w:w="1704"/>
          </w:tcPr>
          <w:p>
            <w:r/>
            <w:r>
              <w:rPr>
                <w:sz w:val="17"/>
              </w:rPr>
              <w:t>0 records</w:t>
            </w:r>
          </w:p>
        </w:tc>
        <w:tc>
          <w:tcPr>
            <w:tcW w:type="dxa" w:w="1704"/>
          </w:tcPr>
          <w:p>
            <w:r/>
            <w:r>
              <w:rPr>
                <w:sz w:val="17"/>
              </w:rPr>
              <w:t>0</w:t>
            </w:r>
          </w:p>
        </w:tc>
        <w:tc>
          <w:tcPr>
            <w:tcW w:type="dxa" w:w="1704"/>
            <w:shd w:val="clear" w:color="auto" w:fill="27AE60"/>
          </w:tcPr>
          <w:p>
            <w:pPr>
              <w:jc w:val="center"/>
            </w:pPr>
            <w:r/>
            <w:r>
              <w:rPr>
                <w:b/>
                <w:color w:val="FFFFFF"/>
                <w:sz w:val="16"/>
              </w:rPr>
              <w:t>GREEN</w:t>
            </w:r>
          </w:p>
        </w:tc>
        <w:tc>
          <w:tcPr>
            <w:tcW w:type="dxa" w:w="1704"/>
          </w:tcPr>
          <w:p>
            <w:r/>
            <w:r>
              <w:rPr>
                <w:sz w:val="17"/>
              </w:rPr>
              <w:t>Surveillance team</w:t>
            </w:r>
          </w:p>
        </w:tc>
      </w:tr>
      <w:tr>
        <w:tc>
          <w:tcPr>
            <w:tcW w:type="dxa" w:w="1704"/>
          </w:tcPr>
          <w:p>
            <w:r/>
            <w:r>
              <w:rPr>
                <w:sz w:val="17"/>
              </w:rPr>
              <w:t>M1.5</w:t>
            </w:r>
          </w:p>
        </w:tc>
        <w:tc>
          <w:tcPr>
            <w:tcW w:type="dxa" w:w="1704"/>
          </w:tcPr>
          <w:p>
            <w:r/>
            <w:r>
              <w:rPr>
                <w:sz w:val="17"/>
              </w:rPr>
              <w:t>Bare-CR lines (silent-drop risk)</w:t>
            </w:r>
          </w:p>
        </w:tc>
        <w:tc>
          <w:tcPr>
            <w:tcW w:type="dxa" w:w="1704"/>
          </w:tcPr>
          <w:p>
            <w:r/>
            <w:r>
              <w:rPr>
                <w:sz w:val="17"/>
              </w:rPr>
              <w:t>4193 records</w:t>
            </w:r>
          </w:p>
        </w:tc>
        <w:tc>
          <w:tcPr>
            <w:tcW w:type="dxa" w:w="1704"/>
          </w:tcPr>
          <w:p>
            <w:r/>
            <w:r>
              <w:rPr>
                <w:sz w:val="17"/>
              </w:rPr>
              <w:t>0 in the FUTURE (producer should emit CRLF only)</w:t>
            </w:r>
          </w:p>
        </w:tc>
        <w:tc>
          <w:tcPr>
            <w:tcW w:type="dxa" w:w="1704"/>
            <w:shd w:val="clear" w:color="auto" w:fill="E67E22"/>
          </w:tcPr>
          <w:p>
            <w:pPr>
              <w:jc w:val="center"/>
            </w:pPr>
            <w:r/>
            <w:r>
              <w:rPr>
                <w:b/>
                <w:color w:val="FFFFFF"/>
                <w:sz w:val="16"/>
              </w:rPr>
              <w:t>AMBER</w:t>
            </w:r>
          </w:p>
        </w:tc>
        <w:tc>
          <w:tcPr>
            <w:tcW w:type="dxa" w:w="1704"/>
          </w:tcPr>
          <w:p>
            <w:r/>
            <w:r>
              <w:rPr>
                <w:sz w:val="17"/>
              </w:rPr>
              <w:t>Producer</w:t>
            </w:r>
          </w:p>
        </w:tc>
      </w:tr>
      <w:tr>
        <w:tc>
          <w:tcPr>
            <w:tcW w:type="dxa" w:w="1704"/>
          </w:tcPr>
          <w:p>
            <w:r/>
            <w:r>
              <w:rPr>
                <w:sz w:val="17"/>
              </w:rPr>
              <w:t>M1.6</w:t>
            </w:r>
          </w:p>
        </w:tc>
        <w:tc>
          <w:tcPr>
            <w:tcW w:type="dxa" w:w="1704"/>
          </w:tcPr>
          <w:p>
            <w:r/>
            <w:r>
              <w:rPr>
                <w:sz w:val="17"/>
              </w:rPr>
              <w:t>CRLF-terminated lines</w:t>
            </w:r>
          </w:p>
        </w:tc>
        <w:tc>
          <w:tcPr>
            <w:tcW w:type="dxa" w:w="1704"/>
          </w:tcPr>
          <w:p>
            <w:r/>
            <w:r>
              <w:rPr>
                <w:sz w:val="17"/>
              </w:rPr>
              <w:t>246522 records</w:t>
            </w:r>
          </w:p>
        </w:tc>
        <w:tc>
          <w:tcPr>
            <w:tcW w:type="dxa" w:w="1704"/>
          </w:tcPr>
          <w:p>
            <w:r/>
            <w:r>
              <w:rPr>
                <w:sz w:val="17"/>
              </w:rPr>
              <w:t>n/a (input characteristic)</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bl>
    <w:p/>
    <w:p>
      <w:r>
        <w:rPr>
          <w:b/>
          <w:i w:val="0"/>
          <w:sz w:val="20"/>
        </w:rPr>
        <w:t>Per-metric definition and rationale:</w:t>
      </w:r>
    </w:p>
    <w:p>
      <w:pPr>
        <w:ind w:left="288"/>
      </w:pPr>
      <w:r>
        <w:rPr>
          <w:b/>
          <w:sz w:val="17"/>
        </w:rPr>
        <w:t xml:space="preserve">M1.1.  </w:t>
      </w:r>
      <w:r>
        <w:rPr>
          <w:i/>
          <w:sz w:val="17"/>
        </w:rPr>
        <w:t xml:space="preserve">Definition: Universal-newline line count of the source CSV minus the header row.  </w:t>
      </w:r>
      <w:r>
        <w:rPr>
          <w:sz w:val="17"/>
        </w:rPr>
        <w:t>Why: Anchor for every downstream completeness ratio. Without an authoritative raw count, no ingestion KPI is defensible.</w:t>
      </w:r>
    </w:p>
    <w:p>
      <w:pPr>
        <w:ind w:left="288"/>
      </w:pPr>
      <w:r>
        <w:rPr>
          <w:b/>
          <w:sz w:val="17"/>
        </w:rPr>
        <w:t xml:space="preserve">M1.2.  </w:t>
      </w:r>
      <w:r>
        <w:rPr>
          <w:i/>
          <w:sz w:val="17"/>
        </w:rPr>
        <w:t xml:space="preserve">Definition: Rows in cleaned_p1_final.tsv after structural repair + value normalisation.  </w:t>
      </w:r>
      <w:r>
        <w:rPr>
          <w:sz w:val="17"/>
        </w:rPr>
        <w:t>Why: Records the surveillance system actually sees. Direct analogue to the JPM-case completeness gap.</w:t>
      </w:r>
    </w:p>
    <w:p>
      <w:pPr>
        <w:ind w:left="288"/>
      </w:pPr>
      <w:r>
        <w:rPr>
          <w:b/>
          <w:sz w:val="17"/>
        </w:rPr>
        <w:t xml:space="preserve">M1.3.  </w:t>
      </w:r>
      <w:r>
        <w:rPr>
          <w:i/>
          <w:sz w:val="17"/>
        </w:rPr>
        <w:t xml:space="preserve">Definition: M1.2 / M1.1 * 100. The headline ingestion KPI.  </w:t>
      </w:r>
      <w:r>
        <w:rPr>
          <w:sz w:val="17"/>
        </w:rPr>
        <w:t>Why: If this is below 95% the vendor will silently drop records. The remaining 3.30% on this dataset are continuation lines absorbed into multi-line cells (NOT lost).</w:t>
      </w:r>
    </w:p>
    <w:p>
      <w:pPr>
        <w:ind w:left="288"/>
      </w:pPr>
      <w:r>
        <w:rPr>
          <w:b/>
          <w:sz w:val="17"/>
        </w:rPr>
        <w:t xml:space="preserve">M1.4.  </w:t>
      </w:r>
      <w:r>
        <w:rPr>
          <w:i/>
          <w:sz w:val="17"/>
        </w:rPr>
        <w:t xml:space="preserve">Definition: Rows that the P1 pipeline could not repair and chose to quarantine for manual review.  </w:t>
      </w:r>
      <w:r>
        <w:rPr>
          <w:sz w:val="17"/>
        </w:rPr>
        <w:t>Why: Quarantined records are deferred surveillance gaps — every quarantined row is a row no rule will fire on.</w:t>
      </w:r>
    </w:p>
    <w:p>
      <w:pPr>
        <w:ind w:left="288"/>
      </w:pPr>
      <w:r>
        <w:rPr>
          <w:b/>
          <w:sz w:val="17"/>
        </w:rPr>
        <w:t xml:space="preserve">M1.5.  </w:t>
      </w:r>
      <w:r>
        <w:rPr>
          <w:i/>
          <w:sz w:val="17"/>
        </w:rPr>
        <w:t xml:space="preserve">Definition: Lines terminated by a bare \r rather than \r\n. Strict-LF readers (some legacy Java/C parsers, Unix wc) silently miss these.  </w:t>
      </w:r>
      <w:r>
        <w:rPr>
          <w:sz w:val="17"/>
        </w:rPr>
        <w:t>Why: On THIS file the P1 pipeline normalises bare-CR -&gt; CRLF, so no records are lost downstream. But the producer should fix the line-ending mix at source so every consumer sees the same record count.</w:t>
      </w:r>
    </w:p>
    <w:p>
      <w:pPr>
        <w:ind w:left="288"/>
      </w:pPr>
      <w:r>
        <w:rPr>
          <w:b/>
          <w:sz w:val="17"/>
        </w:rPr>
        <w:t xml:space="preserve">M1.6.  </w:t>
      </w:r>
      <w:r>
        <w:rPr>
          <w:i/>
          <w:sz w:val="17"/>
        </w:rPr>
        <w:t xml:space="preserve">Definition: Lines terminated by \r\n (standard Windows + RFC-4180 expectation).  </w:t>
      </w:r>
      <w:r>
        <w:rPr>
          <w:sz w:val="17"/>
        </w:rPr>
        <w:t>Why: Reported alongside M1.5 so a reader can reconcile any line-counting tool against the file.</w:t>
      </w:r>
    </w:p>
    <w:p>
      <w:r>
        <w:br w:type="page"/>
      </w:r>
    </w:p>
    <w:p>
      <w:pPr>
        <w:pStyle w:val="Heading1"/>
      </w:pPr>
      <w:r>
        <w:rPr>
          <w:color w:val="1F3A5F"/>
        </w:rPr>
        <w:t>M2 — Field-level completeness</w:t>
      </w:r>
    </w:p>
    <w:tbl>
      <w:tblPr>
        <w:tblStyle w:val="LightGrid-Accent1"/>
        <w:tblW w:type="auto" w:w="0"/>
        <w:tblLayout w:type="fixed"/>
        <w:tblLook w:firstColumn="1" w:firstRow="1" w:lastColumn="0" w:lastRow="0" w:noHBand="0" w:noVBand="1" w:val="04A0"/>
      </w:tblPr>
      <w:tblGrid>
        <w:gridCol w:w="792"/>
        <w:gridCol w:w="3024"/>
        <w:gridCol w:w="1368"/>
        <w:gridCol w:w="2016"/>
        <w:gridCol w:w="1008"/>
        <w:gridCol w:w="1224"/>
      </w:tblGrid>
      <w:tr>
        <w:tc>
          <w:tcPr>
            <w:tcW w:type="dxa" w:w="1704"/>
            <w:shd w:val="clear" w:color="auto" w:fill="1F3A5F"/>
          </w:tcPr>
          <w:p>
            <w:r/>
            <w:r>
              <w:rPr>
                <w:b/>
                <w:color w:val="FFFFFF"/>
                <w:sz w:val="18"/>
              </w:rPr>
              <w:t>ID</w:t>
            </w:r>
          </w:p>
        </w:tc>
        <w:tc>
          <w:tcPr>
            <w:tcW w:type="dxa" w:w="1704"/>
            <w:shd w:val="clear" w:color="auto" w:fill="1F3A5F"/>
          </w:tcPr>
          <w:p>
            <w:r/>
            <w:r>
              <w:rPr>
                <w:b/>
                <w:color w:val="FFFFFF"/>
                <w:sz w:val="18"/>
              </w:rPr>
              <w:t>Metric</w:t>
            </w:r>
          </w:p>
        </w:tc>
        <w:tc>
          <w:tcPr>
            <w:tcW w:type="dxa" w:w="1704"/>
            <w:shd w:val="clear" w:color="auto" w:fill="1F3A5F"/>
          </w:tcPr>
          <w:p>
            <w:r/>
            <w:r>
              <w:rPr>
                <w:b/>
                <w:color w:val="FFFFFF"/>
                <w:sz w:val="18"/>
              </w:rPr>
              <w:t>Value</w:t>
            </w:r>
          </w:p>
        </w:tc>
        <w:tc>
          <w:tcPr>
            <w:tcW w:type="dxa" w:w="1704"/>
            <w:shd w:val="clear" w:color="auto" w:fill="1F3A5F"/>
          </w:tcPr>
          <w:p>
            <w:r/>
            <w:r>
              <w:rPr>
                <w:b/>
                <w:color w:val="FFFFFF"/>
                <w:sz w:val="18"/>
              </w:rPr>
              <w:t>Target</w:t>
            </w:r>
          </w:p>
        </w:tc>
        <w:tc>
          <w:tcPr>
            <w:tcW w:type="dxa" w:w="1704"/>
            <w:shd w:val="clear" w:color="auto" w:fill="1F3A5F"/>
          </w:tcPr>
          <w:p>
            <w:r/>
            <w:r>
              <w:rPr>
                <w:b/>
                <w:color w:val="FFFFFF"/>
                <w:sz w:val="18"/>
              </w:rPr>
              <w:t>Status</w:t>
            </w:r>
          </w:p>
        </w:tc>
        <w:tc>
          <w:tcPr>
            <w:tcW w:type="dxa" w:w="1704"/>
            <w:shd w:val="clear" w:color="auto" w:fill="1F3A5F"/>
          </w:tcPr>
          <w:p>
            <w:r/>
            <w:r>
              <w:rPr>
                <w:b/>
                <w:color w:val="FFFFFF"/>
                <w:sz w:val="18"/>
              </w:rPr>
              <w:t>Owner</w:t>
            </w:r>
          </w:p>
        </w:tc>
      </w:tr>
      <w:tr>
        <w:tc>
          <w:tcPr>
            <w:tcW w:type="dxa" w:w="1704"/>
          </w:tcPr>
          <w:p>
            <w:r/>
            <w:r>
              <w:rPr>
                <w:sz w:val="17"/>
              </w:rPr>
              <w:t>M2.ExchangeId</w:t>
            </w:r>
          </w:p>
        </w:tc>
        <w:tc>
          <w:tcPr>
            <w:tcW w:type="dxa" w:w="1704"/>
          </w:tcPr>
          <w:p>
            <w:r/>
            <w:r>
              <w:rPr>
                <w:sz w:val="17"/>
              </w:rPr>
              <w:t>ExchangeId populated rate</w:t>
            </w:r>
          </w:p>
        </w:tc>
        <w:tc>
          <w:tcPr>
            <w:tcW w:type="dxa" w:w="1704"/>
          </w:tcPr>
          <w:p>
            <w:r/>
            <w:r>
              <w:rPr>
                <w:sz w:val="17"/>
              </w:rPr>
              <w:t>98.31 pct</w:t>
            </w:r>
          </w:p>
        </w:tc>
        <w:tc>
          <w:tcPr>
            <w:tcW w:type="dxa" w:w="1704"/>
          </w:tcPr>
          <w:p>
            <w:r/>
            <w:r>
              <w:rPr>
                <w:sz w:val="17"/>
              </w:rPr>
              <w:t>&gt;= 99.0% populated</w:t>
            </w:r>
          </w:p>
        </w:tc>
        <w:tc>
          <w:tcPr>
            <w:tcW w:type="dxa" w:w="1704"/>
            <w:shd w:val="clear" w:color="auto" w:fill="E67E22"/>
          </w:tcPr>
          <w:p>
            <w:pPr>
              <w:jc w:val="center"/>
            </w:pPr>
            <w:r/>
            <w:r>
              <w:rPr>
                <w:b/>
                <w:color w:val="FFFFFF"/>
                <w:sz w:val="16"/>
              </w:rPr>
              <w:t>AMBER</w:t>
            </w:r>
          </w:p>
        </w:tc>
        <w:tc>
          <w:tcPr>
            <w:tcW w:type="dxa" w:w="1704"/>
          </w:tcPr>
          <w:p>
            <w:r/>
            <w:r>
              <w:rPr>
                <w:sz w:val="17"/>
              </w:rPr>
              <w:t>Producer</w:t>
            </w:r>
          </w:p>
        </w:tc>
      </w:tr>
      <w:tr>
        <w:tc>
          <w:tcPr>
            <w:tcW w:type="dxa" w:w="1704"/>
          </w:tcPr>
          <w:p>
            <w:r/>
            <w:r>
              <w:rPr>
                <w:sz w:val="17"/>
              </w:rPr>
              <w:t>M2.MessageType</w:t>
            </w:r>
          </w:p>
        </w:tc>
        <w:tc>
          <w:tcPr>
            <w:tcW w:type="dxa" w:w="1704"/>
          </w:tcPr>
          <w:p>
            <w:r/>
            <w:r>
              <w:rPr>
                <w:sz w:val="17"/>
              </w:rPr>
              <w:t>MessageType populated rate</w:t>
            </w:r>
          </w:p>
        </w:tc>
        <w:tc>
          <w:tcPr>
            <w:tcW w:type="dxa" w:w="1704"/>
          </w:tcPr>
          <w:p>
            <w:r/>
            <w:r>
              <w:rPr>
                <w:sz w:val="17"/>
              </w:rPr>
              <w:t>100.0 pct</w:t>
            </w:r>
          </w:p>
        </w:tc>
        <w:tc>
          <w:tcPr>
            <w:tcW w:type="dxa" w:w="1704"/>
          </w:tcPr>
          <w:p>
            <w:r/>
            <w:r>
              <w:rPr>
                <w:sz w:val="17"/>
              </w:rPr>
              <w:t>&gt;= 100.0% populated</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r>
        <w:tc>
          <w:tcPr>
            <w:tcW w:type="dxa" w:w="1704"/>
          </w:tcPr>
          <w:p>
            <w:r/>
            <w:r>
              <w:rPr>
                <w:sz w:val="17"/>
              </w:rPr>
              <w:t>M2.TransactionTime</w:t>
            </w:r>
          </w:p>
        </w:tc>
        <w:tc>
          <w:tcPr>
            <w:tcW w:type="dxa" w:w="1704"/>
          </w:tcPr>
          <w:p>
            <w:r/>
            <w:r>
              <w:rPr>
                <w:sz w:val="17"/>
              </w:rPr>
              <w:t>TransactionTime populated rate</w:t>
            </w:r>
          </w:p>
        </w:tc>
        <w:tc>
          <w:tcPr>
            <w:tcW w:type="dxa" w:w="1704"/>
          </w:tcPr>
          <w:p>
            <w:r/>
            <w:r>
              <w:rPr>
                <w:sz w:val="17"/>
              </w:rPr>
              <w:t>100.0 pct</w:t>
            </w:r>
          </w:p>
        </w:tc>
        <w:tc>
          <w:tcPr>
            <w:tcW w:type="dxa" w:w="1704"/>
          </w:tcPr>
          <w:p>
            <w:r/>
            <w:r>
              <w:rPr>
                <w:sz w:val="17"/>
              </w:rPr>
              <w:t>&gt;= 100.0% populated</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r>
        <w:tc>
          <w:tcPr>
            <w:tcW w:type="dxa" w:w="1704"/>
          </w:tcPr>
          <w:p>
            <w:r/>
            <w:r>
              <w:rPr>
                <w:sz w:val="17"/>
              </w:rPr>
              <w:t>M2.MessageDate</w:t>
            </w:r>
          </w:p>
        </w:tc>
        <w:tc>
          <w:tcPr>
            <w:tcW w:type="dxa" w:w="1704"/>
          </w:tcPr>
          <w:p>
            <w:r/>
            <w:r>
              <w:rPr>
                <w:sz w:val="17"/>
              </w:rPr>
              <w:t>MessageDate populated rate</w:t>
            </w:r>
          </w:p>
        </w:tc>
        <w:tc>
          <w:tcPr>
            <w:tcW w:type="dxa" w:w="1704"/>
          </w:tcPr>
          <w:p>
            <w:r/>
            <w:r>
              <w:rPr>
                <w:sz w:val="17"/>
              </w:rPr>
              <w:t>100.0 pct</w:t>
            </w:r>
          </w:p>
        </w:tc>
        <w:tc>
          <w:tcPr>
            <w:tcW w:type="dxa" w:w="1704"/>
          </w:tcPr>
          <w:p>
            <w:r/>
            <w:r>
              <w:rPr>
                <w:sz w:val="17"/>
              </w:rPr>
              <w:t>&gt;= 100.0% populated</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r>
        <w:tc>
          <w:tcPr>
            <w:tcW w:type="dxa" w:w="1704"/>
          </w:tcPr>
          <w:p>
            <w:r/>
            <w:r>
              <w:rPr>
                <w:sz w:val="17"/>
              </w:rPr>
              <w:t>M2.MessageId</w:t>
            </w:r>
          </w:p>
        </w:tc>
        <w:tc>
          <w:tcPr>
            <w:tcW w:type="dxa" w:w="1704"/>
          </w:tcPr>
          <w:p>
            <w:r/>
            <w:r>
              <w:rPr>
                <w:sz w:val="17"/>
              </w:rPr>
              <w:t>MessageId populated rate</w:t>
            </w:r>
          </w:p>
        </w:tc>
        <w:tc>
          <w:tcPr>
            <w:tcW w:type="dxa" w:w="1704"/>
          </w:tcPr>
          <w:p>
            <w:r/>
            <w:r>
              <w:rPr>
                <w:sz w:val="17"/>
              </w:rPr>
              <w:t>98.06 pct</w:t>
            </w:r>
          </w:p>
        </w:tc>
        <w:tc>
          <w:tcPr>
            <w:tcW w:type="dxa" w:w="1704"/>
          </w:tcPr>
          <w:p>
            <w:r/>
            <w:r>
              <w:rPr>
                <w:sz w:val="17"/>
              </w:rPr>
              <w:t>&gt;= 100.0% populated</w:t>
            </w:r>
          </w:p>
        </w:tc>
        <w:tc>
          <w:tcPr>
            <w:tcW w:type="dxa" w:w="1704"/>
            <w:shd w:val="clear" w:color="auto" w:fill="C0392B"/>
          </w:tcPr>
          <w:p>
            <w:pPr>
              <w:jc w:val="center"/>
            </w:pPr>
            <w:r/>
            <w:r>
              <w:rPr>
                <w:b/>
                <w:color w:val="FFFFFF"/>
                <w:sz w:val="16"/>
              </w:rPr>
              <w:t>RED</w:t>
            </w:r>
          </w:p>
        </w:tc>
        <w:tc>
          <w:tcPr>
            <w:tcW w:type="dxa" w:w="1704"/>
          </w:tcPr>
          <w:p>
            <w:r/>
            <w:r>
              <w:rPr>
                <w:sz w:val="17"/>
              </w:rPr>
              <w:t>Producer</w:t>
            </w:r>
          </w:p>
        </w:tc>
      </w:tr>
      <w:tr>
        <w:tc>
          <w:tcPr>
            <w:tcW w:type="dxa" w:w="1704"/>
          </w:tcPr>
          <w:p>
            <w:r/>
            <w:r>
              <w:rPr>
                <w:sz w:val="17"/>
              </w:rPr>
              <w:t>M2.LinkMessageId</w:t>
            </w:r>
          </w:p>
        </w:tc>
        <w:tc>
          <w:tcPr>
            <w:tcW w:type="dxa" w:w="1704"/>
          </w:tcPr>
          <w:p>
            <w:r/>
            <w:r>
              <w:rPr>
                <w:sz w:val="17"/>
              </w:rPr>
              <w:t>LinkMessageId populated rate</w:t>
            </w:r>
          </w:p>
        </w:tc>
        <w:tc>
          <w:tcPr>
            <w:tcW w:type="dxa" w:w="1704"/>
          </w:tcPr>
          <w:p>
            <w:r/>
            <w:r>
              <w:rPr>
                <w:sz w:val="17"/>
              </w:rPr>
              <w:t>58.75 pct</w:t>
            </w:r>
          </w:p>
        </w:tc>
        <w:tc>
          <w:tcPr>
            <w:tcW w:type="dxa" w:w="1704"/>
          </w:tcPr>
          <w:p>
            <w:r/>
            <w:r>
              <w:rPr>
                <w:sz w:val="17"/>
              </w:rPr>
              <w:t>n/a (optional field)</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r>
        <w:tc>
          <w:tcPr>
            <w:tcW w:type="dxa" w:w="1704"/>
          </w:tcPr>
          <w:p>
            <w:r/>
            <w:r>
              <w:rPr>
                <w:sz w:val="17"/>
              </w:rPr>
              <w:t>M2.ParentOrderId</w:t>
            </w:r>
          </w:p>
        </w:tc>
        <w:tc>
          <w:tcPr>
            <w:tcW w:type="dxa" w:w="1704"/>
          </w:tcPr>
          <w:p>
            <w:r/>
            <w:r>
              <w:rPr>
                <w:sz w:val="17"/>
              </w:rPr>
              <w:t>ParentOrderId populated rate</w:t>
            </w:r>
          </w:p>
        </w:tc>
        <w:tc>
          <w:tcPr>
            <w:tcW w:type="dxa" w:w="1704"/>
          </w:tcPr>
          <w:p>
            <w:r/>
            <w:r>
              <w:rPr>
                <w:sz w:val="17"/>
              </w:rPr>
              <w:t>58.75 pct</w:t>
            </w:r>
          </w:p>
        </w:tc>
        <w:tc>
          <w:tcPr>
            <w:tcW w:type="dxa" w:w="1704"/>
          </w:tcPr>
          <w:p>
            <w:r/>
            <w:r>
              <w:rPr>
                <w:sz w:val="17"/>
              </w:rPr>
              <w:t>n/a (optional field)</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r>
        <w:tc>
          <w:tcPr>
            <w:tcW w:type="dxa" w:w="1704"/>
          </w:tcPr>
          <w:p>
            <w:r/>
            <w:r>
              <w:rPr>
                <w:sz w:val="17"/>
              </w:rPr>
              <w:t>M2.Instrument</w:t>
            </w:r>
          </w:p>
        </w:tc>
        <w:tc>
          <w:tcPr>
            <w:tcW w:type="dxa" w:w="1704"/>
          </w:tcPr>
          <w:p>
            <w:r/>
            <w:r>
              <w:rPr>
                <w:sz w:val="17"/>
              </w:rPr>
              <w:t>Instrument populated rate</w:t>
            </w:r>
          </w:p>
        </w:tc>
        <w:tc>
          <w:tcPr>
            <w:tcW w:type="dxa" w:w="1704"/>
          </w:tcPr>
          <w:p>
            <w:r/>
            <w:r>
              <w:rPr>
                <w:sz w:val="17"/>
              </w:rPr>
              <w:t>100.0 pct</w:t>
            </w:r>
          </w:p>
        </w:tc>
        <w:tc>
          <w:tcPr>
            <w:tcW w:type="dxa" w:w="1704"/>
          </w:tcPr>
          <w:p>
            <w:r/>
            <w:r>
              <w:rPr>
                <w:sz w:val="17"/>
              </w:rPr>
              <w:t>&gt;= 100.0% populated</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r>
        <w:tc>
          <w:tcPr>
            <w:tcW w:type="dxa" w:w="1704"/>
          </w:tcPr>
          <w:p>
            <w:r/>
            <w:r>
              <w:rPr>
                <w:sz w:val="17"/>
              </w:rPr>
              <w:t>M2.ISIN</w:t>
            </w:r>
          </w:p>
        </w:tc>
        <w:tc>
          <w:tcPr>
            <w:tcW w:type="dxa" w:w="1704"/>
          </w:tcPr>
          <w:p>
            <w:r/>
            <w:r>
              <w:rPr>
                <w:sz w:val="17"/>
              </w:rPr>
              <w:t>ISIN populated rate</w:t>
            </w:r>
          </w:p>
        </w:tc>
        <w:tc>
          <w:tcPr>
            <w:tcW w:type="dxa" w:w="1704"/>
          </w:tcPr>
          <w:p>
            <w:r/>
            <w:r>
              <w:rPr>
                <w:sz w:val="17"/>
              </w:rPr>
              <w:t>100.0 pct</w:t>
            </w:r>
          </w:p>
        </w:tc>
        <w:tc>
          <w:tcPr>
            <w:tcW w:type="dxa" w:w="1704"/>
          </w:tcPr>
          <w:p>
            <w:r/>
            <w:r>
              <w:rPr>
                <w:sz w:val="17"/>
              </w:rPr>
              <w:t>&gt;= 100.0% populated</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r>
        <w:tc>
          <w:tcPr>
            <w:tcW w:type="dxa" w:w="1704"/>
          </w:tcPr>
          <w:p>
            <w:r/>
            <w:r>
              <w:rPr>
                <w:sz w:val="17"/>
              </w:rPr>
              <w:t>M2.BuyOrSell</w:t>
            </w:r>
          </w:p>
        </w:tc>
        <w:tc>
          <w:tcPr>
            <w:tcW w:type="dxa" w:w="1704"/>
          </w:tcPr>
          <w:p>
            <w:r/>
            <w:r>
              <w:rPr>
                <w:sz w:val="17"/>
              </w:rPr>
              <w:t>BuyOrSell populated rate</w:t>
            </w:r>
          </w:p>
        </w:tc>
        <w:tc>
          <w:tcPr>
            <w:tcW w:type="dxa" w:w="1704"/>
          </w:tcPr>
          <w:p>
            <w:r/>
            <w:r>
              <w:rPr>
                <w:sz w:val="17"/>
              </w:rPr>
              <w:t>100.0 pct</w:t>
            </w:r>
          </w:p>
        </w:tc>
        <w:tc>
          <w:tcPr>
            <w:tcW w:type="dxa" w:w="1704"/>
          </w:tcPr>
          <w:p>
            <w:r/>
            <w:r>
              <w:rPr>
                <w:sz w:val="17"/>
              </w:rPr>
              <w:t>&gt;= 100.0% populated</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r>
        <w:tc>
          <w:tcPr>
            <w:tcW w:type="dxa" w:w="1704"/>
          </w:tcPr>
          <w:p>
            <w:r/>
            <w:r>
              <w:rPr>
                <w:sz w:val="17"/>
              </w:rPr>
              <w:t>M2.Price</w:t>
            </w:r>
          </w:p>
        </w:tc>
        <w:tc>
          <w:tcPr>
            <w:tcW w:type="dxa" w:w="1704"/>
          </w:tcPr>
          <w:p>
            <w:r/>
            <w:r>
              <w:rPr>
                <w:sz w:val="17"/>
              </w:rPr>
              <w:t>Price populated rate</w:t>
            </w:r>
          </w:p>
        </w:tc>
        <w:tc>
          <w:tcPr>
            <w:tcW w:type="dxa" w:w="1704"/>
          </w:tcPr>
          <w:p>
            <w:r/>
            <w:r>
              <w:rPr>
                <w:sz w:val="17"/>
              </w:rPr>
              <w:t>97.54 pct</w:t>
            </w:r>
          </w:p>
        </w:tc>
        <w:tc>
          <w:tcPr>
            <w:tcW w:type="dxa" w:w="1704"/>
          </w:tcPr>
          <w:p>
            <w:r/>
            <w:r>
              <w:rPr>
                <w:sz w:val="17"/>
              </w:rPr>
              <w:t>&gt;= 99.0% populated</w:t>
            </w:r>
          </w:p>
        </w:tc>
        <w:tc>
          <w:tcPr>
            <w:tcW w:type="dxa" w:w="1704"/>
            <w:shd w:val="clear" w:color="auto" w:fill="E67E22"/>
          </w:tcPr>
          <w:p>
            <w:pPr>
              <w:jc w:val="center"/>
            </w:pPr>
            <w:r/>
            <w:r>
              <w:rPr>
                <w:b/>
                <w:color w:val="FFFFFF"/>
                <w:sz w:val="16"/>
              </w:rPr>
              <w:t>AMBER</w:t>
            </w:r>
          </w:p>
        </w:tc>
        <w:tc>
          <w:tcPr>
            <w:tcW w:type="dxa" w:w="1704"/>
          </w:tcPr>
          <w:p>
            <w:r/>
            <w:r>
              <w:rPr>
                <w:sz w:val="17"/>
              </w:rPr>
              <w:t>Producer</w:t>
            </w:r>
          </w:p>
        </w:tc>
      </w:tr>
      <w:tr>
        <w:tc>
          <w:tcPr>
            <w:tcW w:type="dxa" w:w="1704"/>
          </w:tcPr>
          <w:p>
            <w:r/>
            <w:r>
              <w:rPr>
                <w:sz w:val="17"/>
              </w:rPr>
              <w:t>M2.TotalVolume</w:t>
            </w:r>
          </w:p>
        </w:tc>
        <w:tc>
          <w:tcPr>
            <w:tcW w:type="dxa" w:w="1704"/>
          </w:tcPr>
          <w:p>
            <w:r/>
            <w:r>
              <w:rPr>
                <w:sz w:val="17"/>
              </w:rPr>
              <w:t>TotalVolume populated rate</w:t>
            </w:r>
          </w:p>
        </w:tc>
        <w:tc>
          <w:tcPr>
            <w:tcW w:type="dxa" w:w="1704"/>
          </w:tcPr>
          <w:p>
            <w:r/>
            <w:r>
              <w:rPr>
                <w:sz w:val="17"/>
              </w:rPr>
              <w:t>98.8 pct</w:t>
            </w:r>
          </w:p>
        </w:tc>
        <w:tc>
          <w:tcPr>
            <w:tcW w:type="dxa" w:w="1704"/>
          </w:tcPr>
          <w:p>
            <w:r/>
            <w:r>
              <w:rPr>
                <w:sz w:val="17"/>
              </w:rPr>
              <w:t>&gt;= 99.0% populated</w:t>
            </w:r>
          </w:p>
        </w:tc>
        <w:tc>
          <w:tcPr>
            <w:tcW w:type="dxa" w:w="1704"/>
            <w:shd w:val="clear" w:color="auto" w:fill="E67E22"/>
          </w:tcPr>
          <w:p>
            <w:pPr>
              <w:jc w:val="center"/>
            </w:pPr>
            <w:r/>
            <w:r>
              <w:rPr>
                <w:b/>
                <w:color w:val="FFFFFF"/>
                <w:sz w:val="16"/>
              </w:rPr>
              <w:t>AMBER</w:t>
            </w:r>
          </w:p>
        </w:tc>
        <w:tc>
          <w:tcPr>
            <w:tcW w:type="dxa" w:w="1704"/>
          </w:tcPr>
          <w:p>
            <w:r/>
            <w:r>
              <w:rPr>
                <w:sz w:val="17"/>
              </w:rPr>
              <w:t>Producer</w:t>
            </w:r>
          </w:p>
        </w:tc>
      </w:tr>
      <w:tr>
        <w:tc>
          <w:tcPr>
            <w:tcW w:type="dxa" w:w="1704"/>
          </w:tcPr>
          <w:p>
            <w:r/>
            <w:r>
              <w:rPr>
                <w:sz w:val="17"/>
              </w:rPr>
              <w:t>M2.Account</w:t>
            </w:r>
          </w:p>
        </w:tc>
        <w:tc>
          <w:tcPr>
            <w:tcW w:type="dxa" w:w="1704"/>
          </w:tcPr>
          <w:p>
            <w:r/>
            <w:r>
              <w:rPr>
                <w:sz w:val="17"/>
              </w:rPr>
              <w:t>Account populated rate</w:t>
            </w:r>
          </w:p>
        </w:tc>
        <w:tc>
          <w:tcPr>
            <w:tcW w:type="dxa" w:w="1704"/>
          </w:tcPr>
          <w:p>
            <w:r/>
            <w:r>
              <w:rPr>
                <w:sz w:val="17"/>
              </w:rPr>
              <w:t>100.0 pct</w:t>
            </w:r>
          </w:p>
        </w:tc>
        <w:tc>
          <w:tcPr>
            <w:tcW w:type="dxa" w:w="1704"/>
          </w:tcPr>
          <w:p>
            <w:r/>
            <w:r>
              <w:rPr>
                <w:sz w:val="17"/>
              </w:rPr>
              <w:t>&gt;= 100.0% populated</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r>
        <w:tc>
          <w:tcPr>
            <w:tcW w:type="dxa" w:w="1704"/>
          </w:tcPr>
          <w:p>
            <w:r/>
            <w:r>
              <w:rPr>
                <w:sz w:val="17"/>
              </w:rPr>
              <w:t>M2.CounterPartyFirm</w:t>
            </w:r>
          </w:p>
        </w:tc>
        <w:tc>
          <w:tcPr>
            <w:tcW w:type="dxa" w:w="1704"/>
          </w:tcPr>
          <w:p>
            <w:r/>
            <w:r>
              <w:rPr>
                <w:sz w:val="17"/>
              </w:rPr>
              <w:t>CounterPartyFirm populated rate</w:t>
            </w:r>
          </w:p>
        </w:tc>
        <w:tc>
          <w:tcPr>
            <w:tcW w:type="dxa" w:w="1704"/>
          </w:tcPr>
          <w:p>
            <w:r/>
            <w:r>
              <w:rPr>
                <w:sz w:val="17"/>
              </w:rPr>
              <w:t>100.0 pct</w:t>
            </w:r>
          </w:p>
        </w:tc>
        <w:tc>
          <w:tcPr>
            <w:tcW w:type="dxa" w:w="1704"/>
          </w:tcPr>
          <w:p>
            <w:r/>
            <w:r>
              <w:rPr>
                <w:sz w:val="17"/>
              </w:rPr>
              <w:t>&gt;= 100.0% populated</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r>
        <w:tc>
          <w:tcPr>
            <w:tcW w:type="dxa" w:w="1704"/>
          </w:tcPr>
          <w:p>
            <w:r/>
            <w:r>
              <w:rPr>
                <w:sz w:val="17"/>
              </w:rPr>
              <w:t>M2.Trader</w:t>
            </w:r>
          </w:p>
        </w:tc>
        <w:tc>
          <w:tcPr>
            <w:tcW w:type="dxa" w:w="1704"/>
          </w:tcPr>
          <w:p>
            <w:r/>
            <w:r>
              <w:rPr>
                <w:sz w:val="17"/>
              </w:rPr>
              <w:t>Trader populated rate</w:t>
            </w:r>
          </w:p>
        </w:tc>
        <w:tc>
          <w:tcPr>
            <w:tcW w:type="dxa" w:w="1704"/>
          </w:tcPr>
          <w:p>
            <w:r/>
            <w:r>
              <w:rPr>
                <w:sz w:val="17"/>
              </w:rPr>
              <w:t>35.2 pct</w:t>
            </w:r>
          </w:p>
        </w:tc>
        <w:tc>
          <w:tcPr>
            <w:tcW w:type="dxa" w:w="1704"/>
          </w:tcPr>
          <w:p>
            <w:r/>
            <w:r>
              <w:rPr>
                <w:sz w:val="17"/>
              </w:rPr>
              <w:t>&gt;= 100.0% populated</w:t>
            </w:r>
          </w:p>
        </w:tc>
        <w:tc>
          <w:tcPr>
            <w:tcW w:type="dxa" w:w="1704"/>
            <w:shd w:val="clear" w:color="auto" w:fill="C0392B"/>
          </w:tcPr>
          <w:p>
            <w:pPr>
              <w:jc w:val="center"/>
            </w:pPr>
            <w:r/>
            <w:r>
              <w:rPr>
                <w:b/>
                <w:color w:val="FFFFFF"/>
                <w:sz w:val="16"/>
              </w:rPr>
              <w:t>RED</w:t>
            </w:r>
          </w:p>
        </w:tc>
        <w:tc>
          <w:tcPr>
            <w:tcW w:type="dxa" w:w="1704"/>
          </w:tcPr>
          <w:p>
            <w:r/>
            <w:r>
              <w:rPr>
                <w:sz w:val="17"/>
              </w:rPr>
              <w:t>Producer</w:t>
            </w:r>
          </w:p>
        </w:tc>
      </w:tr>
      <w:tr>
        <w:tc>
          <w:tcPr>
            <w:tcW w:type="dxa" w:w="1704"/>
          </w:tcPr>
          <w:p>
            <w:r/>
            <w:r>
              <w:rPr>
                <w:sz w:val="17"/>
              </w:rPr>
              <w:t>M2.TransactionSource</w:t>
            </w:r>
          </w:p>
        </w:tc>
        <w:tc>
          <w:tcPr>
            <w:tcW w:type="dxa" w:w="1704"/>
          </w:tcPr>
          <w:p>
            <w:r/>
            <w:r>
              <w:rPr>
                <w:sz w:val="17"/>
              </w:rPr>
              <w:t>TransactionSource populated rate</w:t>
            </w:r>
          </w:p>
        </w:tc>
        <w:tc>
          <w:tcPr>
            <w:tcW w:type="dxa" w:w="1704"/>
          </w:tcPr>
          <w:p>
            <w:r/>
            <w:r>
              <w:rPr>
                <w:sz w:val="17"/>
              </w:rPr>
              <w:t>100.0 pct</w:t>
            </w:r>
          </w:p>
        </w:tc>
        <w:tc>
          <w:tcPr>
            <w:tcW w:type="dxa" w:w="1704"/>
          </w:tcPr>
          <w:p>
            <w:r/>
            <w:r>
              <w:rPr>
                <w:sz w:val="17"/>
              </w:rPr>
              <w:t>&gt;= 100.0% populated</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r>
        <w:tc>
          <w:tcPr>
            <w:tcW w:type="dxa" w:w="1704"/>
          </w:tcPr>
          <w:p>
            <w:r/>
            <w:r>
              <w:rPr>
                <w:sz w:val="17"/>
              </w:rPr>
              <w:t>M2.Currency</w:t>
            </w:r>
          </w:p>
        </w:tc>
        <w:tc>
          <w:tcPr>
            <w:tcW w:type="dxa" w:w="1704"/>
          </w:tcPr>
          <w:p>
            <w:r/>
            <w:r>
              <w:rPr>
                <w:sz w:val="17"/>
              </w:rPr>
              <w:t>Currency populated rate</w:t>
            </w:r>
          </w:p>
        </w:tc>
        <w:tc>
          <w:tcPr>
            <w:tcW w:type="dxa" w:w="1704"/>
          </w:tcPr>
          <w:p>
            <w:r/>
            <w:r>
              <w:rPr>
                <w:sz w:val="17"/>
              </w:rPr>
              <w:t>100.0 pct</w:t>
            </w:r>
          </w:p>
        </w:tc>
        <w:tc>
          <w:tcPr>
            <w:tcW w:type="dxa" w:w="1704"/>
          </w:tcPr>
          <w:p>
            <w:r/>
            <w:r>
              <w:rPr>
                <w:sz w:val="17"/>
              </w:rPr>
              <w:t>&gt;= 100.0% populated</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r>
        <w:tc>
          <w:tcPr>
            <w:tcW w:type="dxa" w:w="1704"/>
          </w:tcPr>
          <w:p>
            <w:r/>
            <w:r>
              <w:rPr>
                <w:sz w:val="17"/>
              </w:rPr>
              <w:t>M2.Flags</w:t>
            </w:r>
          </w:p>
        </w:tc>
        <w:tc>
          <w:tcPr>
            <w:tcW w:type="dxa" w:w="1704"/>
          </w:tcPr>
          <w:p>
            <w:r/>
            <w:r>
              <w:rPr>
                <w:sz w:val="17"/>
              </w:rPr>
              <w:t>Flags populated rate</w:t>
            </w:r>
          </w:p>
        </w:tc>
        <w:tc>
          <w:tcPr>
            <w:tcW w:type="dxa" w:w="1704"/>
          </w:tcPr>
          <w:p>
            <w:r/>
            <w:r>
              <w:rPr>
                <w:sz w:val="17"/>
              </w:rPr>
              <w:t>4.71 pct</w:t>
            </w:r>
          </w:p>
        </w:tc>
        <w:tc>
          <w:tcPr>
            <w:tcW w:type="dxa" w:w="1704"/>
          </w:tcPr>
          <w:p>
            <w:r/>
            <w:r>
              <w:rPr>
                <w:sz w:val="17"/>
              </w:rPr>
              <w:t>n/a (optional field)</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bl>
    <w:p/>
    <w:p>
      <w:r>
        <w:rPr>
          <w:b/>
          <w:i w:val="0"/>
          <w:sz w:val="20"/>
        </w:rPr>
        <w:t>Per-metric definition and rationale:</w:t>
      </w:r>
    </w:p>
    <w:p>
      <w:pPr>
        <w:ind w:left="288"/>
      </w:pPr>
      <w:r>
        <w:rPr>
          <w:b/>
          <w:sz w:val="17"/>
        </w:rPr>
        <w:t xml:space="preserve">M2.ExchangeId.  </w:t>
      </w:r>
      <w:r>
        <w:rPr>
          <w:i/>
          <w:sz w:val="17"/>
        </w:rPr>
        <w:t xml:space="preserve">Definition: 100 - (nulls in ExchangeId / total rows * 100)  </w:t>
      </w:r>
      <w:r>
        <w:rPr>
          <w:sz w:val="17"/>
        </w:rPr>
        <w:t>Why: Required for venue-level surveillance + best-execution analysis.</w:t>
      </w:r>
    </w:p>
    <w:p>
      <w:pPr>
        <w:ind w:left="288"/>
      </w:pPr>
      <w:r>
        <w:rPr>
          <w:b/>
          <w:sz w:val="17"/>
        </w:rPr>
        <w:t xml:space="preserve">M2.MessageType.  </w:t>
      </w:r>
      <w:r>
        <w:rPr>
          <w:i/>
          <w:sz w:val="17"/>
        </w:rPr>
        <w:t xml:space="preserve">Definition: 100 - (nulls in MessageType / total rows * 100)  </w:t>
      </w:r>
      <w:r>
        <w:rPr>
          <w:sz w:val="17"/>
        </w:rPr>
        <w:t>Why: Cannot route a row to a surveillance rule without knowing what kind of event it is.</w:t>
      </w:r>
    </w:p>
    <w:p>
      <w:pPr>
        <w:ind w:left="288"/>
      </w:pPr>
      <w:r>
        <w:rPr>
          <w:b/>
          <w:sz w:val="17"/>
        </w:rPr>
        <w:t xml:space="preserve">M2.TransactionTime.  </w:t>
      </w:r>
      <w:r>
        <w:rPr>
          <w:i/>
          <w:sz w:val="17"/>
        </w:rPr>
        <w:t xml:space="preserve">Definition: 100 - (nulls in TransactionTime / total rows * 100)  </w:t>
      </w:r>
      <w:r>
        <w:rPr>
          <w:sz w:val="17"/>
        </w:rPr>
        <w:t>Why: Required for every time-windowed rule (cancel ratios, wash-trade timing, lifecycle ordering).</w:t>
      </w:r>
    </w:p>
    <w:p>
      <w:pPr>
        <w:ind w:left="288"/>
      </w:pPr>
      <w:r>
        <w:rPr>
          <w:b/>
          <w:sz w:val="17"/>
        </w:rPr>
        <w:t xml:space="preserve">M2.MessageDate.  </w:t>
      </w:r>
      <w:r>
        <w:rPr>
          <w:i/>
          <w:sz w:val="17"/>
        </w:rPr>
        <w:t xml:space="preserve">Definition: 100 - (nulls in MessageDate / total rows * 100)  </w:t>
      </w:r>
      <w:r>
        <w:rPr>
          <w:sz w:val="17"/>
        </w:rPr>
        <w:t>Why: Partition key for trading-day surveillance scope.</w:t>
      </w:r>
    </w:p>
    <w:p>
      <w:pPr>
        <w:ind w:left="288"/>
      </w:pPr>
      <w:r>
        <w:rPr>
          <w:b/>
          <w:sz w:val="17"/>
        </w:rPr>
        <w:t xml:space="preserve">M2.MessageId.  </w:t>
      </w:r>
      <w:r>
        <w:rPr>
          <w:i/>
          <w:sz w:val="17"/>
        </w:rPr>
        <w:t xml:space="preserve">Definition: 100 - (nulls in MessageId / total rows * 100)  </w:t>
      </w:r>
      <w:r>
        <w:rPr>
          <w:sz w:val="17"/>
        </w:rPr>
        <w:t>Why: Primary key. Nulls cannot be deduplicated, reconciled, or referenced by Cancel/Fill events.</w:t>
      </w:r>
    </w:p>
    <w:p>
      <w:pPr>
        <w:ind w:left="288"/>
      </w:pPr>
      <w:r>
        <w:rPr>
          <w:b/>
          <w:sz w:val="17"/>
        </w:rPr>
        <w:t xml:space="preserve">M2.LinkMessageId.  </w:t>
      </w:r>
      <w:r>
        <w:rPr>
          <w:i/>
          <w:sz w:val="17"/>
        </w:rPr>
        <w:t xml:space="preserve">Definition: 100 - (nulls in LinkMessageId / total rows * 100)  </w:t>
      </w:r>
      <w:r>
        <w:rPr>
          <w:sz w:val="17"/>
        </w:rPr>
        <w:t>Why: Optional — null is valid for parent New Orders. Only flagged when populated AND unresolvable (see M3.1).</w:t>
      </w:r>
    </w:p>
    <w:p>
      <w:pPr>
        <w:ind w:left="288"/>
      </w:pPr>
      <w:r>
        <w:rPr>
          <w:b/>
          <w:sz w:val="17"/>
        </w:rPr>
        <w:t xml:space="preserve">M2.ParentOrderId.  </w:t>
      </w:r>
      <w:r>
        <w:rPr>
          <w:i/>
          <w:sz w:val="17"/>
        </w:rPr>
        <w:t xml:space="preserve">Definition: 100 - (nulls in ParentOrderId / total rows * 100)  </w:t>
      </w:r>
      <w:r>
        <w:rPr>
          <w:sz w:val="17"/>
        </w:rPr>
        <w:t>Why: Optional — null is valid for parent New Orders. Only flagged when populated AND unresolvable (see M3.2).</w:t>
      </w:r>
    </w:p>
    <w:p>
      <w:pPr>
        <w:ind w:left="288"/>
      </w:pPr>
      <w:r>
        <w:rPr>
          <w:b/>
          <w:sz w:val="17"/>
        </w:rPr>
        <w:t xml:space="preserve">M2.Instrument.  </w:t>
      </w:r>
      <w:r>
        <w:rPr>
          <w:i/>
          <w:sz w:val="17"/>
        </w:rPr>
        <w:t xml:space="preserve">Definition: 100 - (nulls in Instrument / total rows * 100)  </w:t>
      </w:r>
      <w:r>
        <w:rPr>
          <w:sz w:val="17"/>
        </w:rPr>
        <w:t>Why: Required for every per-instrument rule (price outlier, position aggregation).</w:t>
      </w:r>
    </w:p>
    <w:p>
      <w:pPr>
        <w:ind w:left="288"/>
      </w:pPr>
      <w:r>
        <w:rPr>
          <w:b/>
          <w:sz w:val="17"/>
        </w:rPr>
        <w:t xml:space="preserve">M2.ISIN.  </w:t>
      </w:r>
      <w:r>
        <w:rPr>
          <w:i/>
          <w:sz w:val="17"/>
        </w:rPr>
        <w:t xml:space="preserve">Definition: 100 - (nulls in ISIN / total rows * 100)  </w:t>
      </w:r>
      <w:r>
        <w:rPr>
          <w:sz w:val="17"/>
        </w:rPr>
        <w:t>Why: Required for cross-venue / cross-system instrument joins.</w:t>
      </w:r>
    </w:p>
    <w:p>
      <w:pPr>
        <w:ind w:left="288"/>
      </w:pPr>
      <w:r>
        <w:rPr>
          <w:b/>
          <w:sz w:val="17"/>
        </w:rPr>
        <w:t xml:space="preserve">M2.BuyOrSell.  </w:t>
      </w:r>
      <w:r>
        <w:rPr>
          <w:i/>
          <w:sz w:val="17"/>
        </w:rPr>
        <w:t xml:space="preserve">Definition: 100 - (nulls in BuyOrSell / total rows * 100)  </w:t>
      </w:r>
      <w:r>
        <w:rPr>
          <w:sz w:val="17"/>
        </w:rPr>
        <w:t>Why: Required for wash-trade detection, position direction, side-imbalance rules.</w:t>
      </w:r>
    </w:p>
    <w:p>
      <w:pPr>
        <w:ind w:left="288"/>
      </w:pPr>
      <w:r>
        <w:rPr>
          <w:b/>
          <w:sz w:val="17"/>
        </w:rPr>
        <w:t xml:space="preserve">M2.Price.  </w:t>
      </w:r>
      <w:r>
        <w:rPr>
          <w:i/>
          <w:sz w:val="17"/>
        </w:rPr>
        <w:t xml:space="preserve">Definition: 100 - (nulls in Price / total rows * 100)  </w:t>
      </w:r>
      <w:r>
        <w:rPr>
          <w:sz w:val="17"/>
        </w:rPr>
        <w:t>Why: Required for price-outlier detection + best-execution. Some Cancel events may legitimately omit price; investigate the breakdown.</w:t>
      </w:r>
    </w:p>
    <w:p>
      <w:pPr>
        <w:ind w:left="288"/>
      </w:pPr>
      <w:r>
        <w:rPr>
          <w:b/>
          <w:sz w:val="17"/>
        </w:rPr>
        <w:t xml:space="preserve">M2.TotalVolume.  </w:t>
      </w:r>
      <w:r>
        <w:rPr>
          <w:i/>
          <w:sz w:val="17"/>
        </w:rPr>
        <w:t xml:space="preserve">Definition: 100 - (nulls in TotalVolume / total rows * 100)  </w:t>
      </w:r>
      <w:r>
        <w:rPr>
          <w:sz w:val="17"/>
        </w:rPr>
        <w:t>Why: Required for over-fill detection + position size + block-trade flagging.</w:t>
      </w:r>
    </w:p>
    <w:p>
      <w:pPr>
        <w:ind w:left="288"/>
      </w:pPr>
      <w:r>
        <w:rPr>
          <w:b/>
          <w:sz w:val="17"/>
        </w:rPr>
        <w:t xml:space="preserve">M2.Account.  </w:t>
      </w:r>
      <w:r>
        <w:rPr>
          <w:i/>
          <w:sz w:val="17"/>
        </w:rPr>
        <w:t xml:space="preserve">Definition: 100 - (nulls in Account / total rows * 100)  </w:t>
      </w:r>
      <w:r>
        <w:rPr>
          <w:sz w:val="17"/>
        </w:rPr>
        <w:t>Why: Required for account-level wash-trade and position-limit rules.</w:t>
      </w:r>
    </w:p>
    <w:p>
      <w:pPr>
        <w:ind w:left="288"/>
      </w:pPr>
      <w:r>
        <w:rPr>
          <w:b/>
          <w:sz w:val="17"/>
        </w:rPr>
        <w:t xml:space="preserve">M2.CounterPartyFirm.  </w:t>
      </w:r>
      <w:r>
        <w:rPr>
          <w:i/>
          <w:sz w:val="17"/>
        </w:rPr>
        <w:t xml:space="preserve">Definition: 100 - (nulls in CounterPartyFirm / total rows * 100)  </w:t>
      </w:r>
      <w:r>
        <w:rPr>
          <w:sz w:val="17"/>
        </w:rPr>
        <w:t>Why: Required for inter-firm market-abuse detection + counterparty risk.</w:t>
      </w:r>
    </w:p>
    <w:p>
      <w:pPr>
        <w:ind w:left="288"/>
      </w:pPr>
      <w:r>
        <w:rPr>
          <w:b/>
          <w:sz w:val="17"/>
        </w:rPr>
        <w:t xml:space="preserve">M2.Trader.  </w:t>
      </w:r>
      <w:r>
        <w:rPr>
          <w:i/>
          <w:sz w:val="17"/>
        </w:rPr>
        <w:t xml:space="preserve">Definition: 100 - (nulls in Trader / total rows * 100)  </w:t>
      </w:r>
      <w:r>
        <w:rPr>
          <w:sz w:val="17"/>
        </w:rPr>
        <w:t>Why: Reg-best-execution + MAR market-abuse attribution. Currently 64.87% of FILLS lack a Trader (see M6).</w:t>
      </w:r>
    </w:p>
    <w:p>
      <w:pPr>
        <w:ind w:left="288"/>
      </w:pPr>
      <w:r>
        <w:rPr>
          <w:b/>
          <w:sz w:val="17"/>
        </w:rPr>
        <w:t xml:space="preserve">M2.TransactionSource.  </w:t>
      </w:r>
      <w:r>
        <w:rPr>
          <w:i/>
          <w:sz w:val="17"/>
        </w:rPr>
        <w:t xml:space="preserve">Definition: 100 - (nulls in TransactionSource / total rows * 100)  </w:t>
      </w:r>
      <w:r>
        <w:rPr>
          <w:sz w:val="17"/>
        </w:rPr>
        <w:t>Why: Required for source attribution if the surveillance system aggregates multiple feeds.</w:t>
      </w:r>
    </w:p>
    <w:p>
      <w:pPr>
        <w:ind w:left="288"/>
      </w:pPr>
      <w:r>
        <w:rPr>
          <w:b/>
          <w:sz w:val="17"/>
        </w:rPr>
        <w:t xml:space="preserve">M2.Currency.  </w:t>
      </w:r>
      <w:r>
        <w:rPr>
          <w:i/>
          <w:sz w:val="17"/>
        </w:rPr>
        <w:t xml:space="preserve">Definition: 100 - (nulls in Currency / total rows * 100)  </w:t>
      </w:r>
      <w:r>
        <w:rPr>
          <w:sz w:val="17"/>
        </w:rPr>
        <w:t>Why: Required for FX normalisation if multi-currency.</w:t>
      </w:r>
    </w:p>
    <w:p>
      <w:pPr>
        <w:ind w:left="288"/>
      </w:pPr>
      <w:r>
        <w:rPr>
          <w:b/>
          <w:sz w:val="17"/>
        </w:rPr>
        <w:t xml:space="preserve">M2.Flags.  </w:t>
      </w:r>
      <w:r>
        <w:rPr>
          <w:i/>
          <w:sz w:val="17"/>
        </w:rPr>
        <w:t xml:space="preserve">Definition: 100 - (nulls in Flags / total rows * 100)  </w:t>
      </w:r>
      <w:r>
        <w:rPr>
          <w:sz w:val="17"/>
        </w:rPr>
        <w:t>Why: Optional — present only on exception messages. Null is the expected state on the majority of rows.</w:t>
      </w:r>
    </w:p>
    <w:p>
      <w:r>
        <w:br w:type="page"/>
      </w:r>
    </w:p>
    <w:p>
      <w:pPr>
        <w:pStyle w:val="Heading1"/>
      </w:pPr>
      <w:r>
        <w:rPr>
          <w:color w:val="1F3A5F"/>
        </w:rPr>
        <w:t>M3 — Lineage integrity</w:t>
      </w:r>
    </w:p>
    <w:tbl>
      <w:tblPr>
        <w:tblStyle w:val="LightGrid-Accent1"/>
        <w:tblW w:type="auto" w:w="0"/>
        <w:tblLayout w:type="fixed"/>
        <w:tblLook w:firstColumn="1" w:firstRow="1" w:lastColumn="0" w:lastRow="0" w:noHBand="0" w:noVBand="1" w:val="04A0"/>
      </w:tblPr>
      <w:tblGrid>
        <w:gridCol w:w="792"/>
        <w:gridCol w:w="3024"/>
        <w:gridCol w:w="1368"/>
        <w:gridCol w:w="2016"/>
        <w:gridCol w:w="1008"/>
        <w:gridCol w:w="1224"/>
      </w:tblGrid>
      <w:tr>
        <w:tc>
          <w:tcPr>
            <w:tcW w:type="dxa" w:w="1704"/>
            <w:shd w:val="clear" w:color="auto" w:fill="1F3A5F"/>
          </w:tcPr>
          <w:p>
            <w:r/>
            <w:r>
              <w:rPr>
                <w:b/>
                <w:color w:val="FFFFFF"/>
                <w:sz w:val="18"/>
              </w:rPr>
              <w:t>ID</w:t>
            </w:r>
          </w:p>
        </w:tc>
        <w:tc>
          <w:tcPr>
            <w:tcW w:type="dxa" w:w="1704"/>
            <w:shd w:val="clear" w:color="auto" w:fill="1F3A5F"/>
          </w:tcPr>
          <w:p>
            <w:r/>
            <w:r>
              <w:rPr>
                <w:b/>
                <w:color w:val="FFFFFF"/>
                <w:sz w:val="18"/>
              </w:rPr>
              <w:t>Metric</w:t>
            </w:r>
          </w:p>
        </w:tc>
        <w:tc>
          <w:tcPr>
            <w:tcW w:type="dxa" w:w="1704"/>
            <w:shd w:val="clear" w:color="auto" w:fill="1F3A5F"/>
          </w:tcPr>
          <w:p>
            <w:r/>
            <w:r>
              <w:rPr>
                <w:b/>
                <w:color w:val="FFFFFF"/>
                <w:sz w:val="18"/>
              </w:rPr>
              <w:t>Value</w:t>
            </w:r>
          </w:p>
        </w:tc>
        <w:tc>
          <w:tcPr>
            <w:tcW w:type="dxa" w:w="1704"/>
            <w:shd w:val="clear" w:color="auto" w:fill="1F3A5F"/>
          </w:tcPr>
          <w:p>
            <w:r/>
            <w:r>
              <w:rPr>
                <w:b/>
                <w:color w:val="FFFFFF"/>
                <w:sz w:val="18"/>
              </w:rPr>
              <w:t>Target</w:t>
            </w:r>
          </w:p>
        </w:tc>
        <w:tc>
          <w:tcPr>
            <w:tcW w:type="dxa" w:w="1704"/>
            <w:shd w:val="clear" w:color="auto" w:fill="1F3A5F"/>
          </w:tcPr>
          <w:p>
            <w:r/>
            <w:r>
              <w:rPr>
                <w:b/>
                <w:color w:val="FFFFFF"/>
                <w:sz w:val="18"/>
              </w:rPr>
              <w:t>Status</w:t>
            </w:r>
          </w:p>
        </w:tc>
        <w:tc>
          <w:tcPr>
            <w:tcW w:type="dxa" w:w="1704"/>
            <w:shd w:val="clear" w:color="auto" w:fill="1F3A5F"/>
          </w:tcPr>
          <w:p>
            <w:r/>
            <w:r>
              <w:rPr>
                <w:b/>
                <w:color w:val="FFFFFF"/>
                <w:sz w:val="18"/>
              </w:rPr>
              <w:t>Owner</w:t>
            </w:r>
          </w:p>
        </w:tc>
      </w:tr>
      <w:tr>
        <w:tc>
          <w:tcPr>
            <w:tcW w:type="dxa" w:w="1704"/>
          </w:tcPr>
          <w:p>
            <w:r/>
            <w:r>
              <w:rPr>
                <w:sz w:val="17"/>
              </w:rPr>
              <w:t>M3.1</w:t>
            </w:r>
          </w:p>
        </w:tc>
        <w:tc>
          <w:tcPr>
            <w:tcW w:type="dxa" w:w="1704"/>
          </w:tcPr>
          <w:p>
            <w:r/>
            <w:r>
              <w:rPr>
                <w:sz w:val="17"/>
              </w:rPr>
              <w:t>Orphaned LinkMessageId rate</w:t>
            </w:r>
          </w:p>
        </w:tc>
        <w:tc>
          <w:tcPr>
            <w:tcW w:type="dxa" w:w="1704"/>
          </w:tcPr>
          <w:p>
            <w:r/>
            <w:r>
              <w:rPr>
                <w:sz w:val="17"/>
              </w:rPr>
              <w:t>5.73 pct</w:t>
            </w:r>
          </w:p>
        </w:tc>
        <w:tc>
          <w:tcPr>
            <w:tcW w:type="dxa" w:w="1704"/>
          </w:tcPr>
          <w:p>
            <w:r/>
            <w:r>
              <w:rPr>
                <w:sz w:val="17"/>
              </w:rPr>
              <w:t>&lt; 1.0%</w:t>
            </w:r>
          </w:p>
        </w:tc>
        <w:tc>
          <w:tcPr>
            <w:tcW w:type="dxa" w:w="1704"/>
            <w:shd w:val="clear" w:color="auto" w:fill="C0392B"/>
          </w:tcPr>
          <w:p>
            <w:pPr>
              <w:jc w:val="center"/>
            </w:pPr>
            <w:r/>
            <w:r>
              <w:rPr>
                <w:b/>
                <w:color w:val="FFFFFF"/>
                <w:sz w:val="16"/>
              </w:rPr>
              <w:t>RED</w:t>
            </w:r>
          </w:p>
        </w:tc>
        <w:tc>
          <w:tcPr>
            <w:tcW w:type="dxa" w:w="1704"/>
          </w:tcPr>
          <w:p>
            <w:r/>
            <w:r>
              <w:rPr>
                <w:sz w:val="17"/>
              </w:rPr>
              <w:t>Producer</w:t>
            </w:r>
          </w:p>
        </w:tc>
      </w:tr>
      <w:tr>
        <w:tc>
          <w:tcPr>
            <w:tcW w:type="dxa" w:w="1704"/>
          </w:tcPr>
          <w:p>
            <w:r/>
            <w:r>
              <w:rPr>
                <w:sz w:val="17"/>
              </w:rPr>
              <w:t>M3.2</w:t>
            </w:r>
          </w:p>
        </w:tc>
        <w:tc>
          <w:tcPr>
            <w:tcW w:type="dxa" w:w="1704"/>
          </w:tcPr>
          <w:p>
            <w:r/>
            <w:r>
              <w:rPr>
                <w:sz w:val="17"/>
              </w:rPr>
              <w:t>Orphaned ParentOrderId rate</w:t>
            </w:r>
          </w:p>
        </w:tc>
        <w:tc>
          <w:tcPr>
            <w:tcW w:type="dxa" w:w="1704"/>
          </w:tcPr>
          <w:p>
            <w:r/>
            <w:r>
              <w:rPr>
                <w:sz w:val="17"/>
              </w:rPr>
              <w:t>9.92 pct</w:t>
            </w:r>
          </w:p>
        </w:tc>
        <w:tc>
          <w:tcPr>
            <w:tcW w:type="dxa" w:w="1704"/>
          </w:tcPr>
          <w:p>
            <w:r/>
            <w:r>
              <w:rPr>
                <w:sz w:val="17"/>
              </w:rPr>
              <w:t>&lt; 1.0%</w:t>
            </w:r>
          </w:p>
        </w:tc>
        <w:tc>
          <w:tcPr>
            <w:tcW w:type="dxa" w:w="1704"/>
            <w:shd w:val="clear" w:color="auto" w:fill="C0392B"/>
          </w:tcPr>
          <w:p>
            <w:pPr>
              <w:jc w:val="center"/>
            </w:pPr>
            <w:r/>
            <w:r>
              <w:rPr>
                <w:b/>
                <w:color w:val="FFFFFF"/>
                <w:sz w:val="16"/>
              </w:rPr>
              <w:t>RED</w:t>
            </w:r>
          </w:p>
        </w:tc>
        <w:tc>
          <w:tcPr>
            <w:tcW w:type="dxa" w:w="1704"/>
          </w:tcPr>
          <w:p>
            <w:r/>
            <w:r>
              <w:rPr>
                <w:sz w:val="17"/>
              </w:rPr>
              <w:t>Producer</w:t>
            </w:r>
          </w:p>
        </w:tc>
      </w:tr>
      <w:tr>
        <w:tc>
          <w:tcPr>
            <w:tcW w:type="dxa" w:w="1704"/>
          </w:tcPr>
          <w:p>
            <w:r/>
            <w:r>
              <w:rPr>
                <w:sz w:val="17"/>
              </w:rPr>
              <w:t>M3.3</w:t>
            </w:r>
          </w:p>
        </w:tc>
        <w:tc>
          <w:tcPr>
            <w:tcW w:type="dxa" w:w="1704"/>
          </w:tcPr>
          <w:p>
            <w:r/>
            <w:r>
              <w:rPr>
                <w:sz w:val="17"/>
              </w:rPr>
              <w:t>Orphan-by-omission rate (children with NO upstream ref)</w:t>
            </w:r>
          </w:p>
        </w:tc>
        <w:tc>
          <w:tcPr>
            <w:tcW w:type="dxa" w:w="1704"/>
          </w:tcPr>
          <w:p>
            <w:r/>
            <w:r>
              <w:rPr>
                <w:sz w:val="17"/>
              </w:rPr>
              <w:t>0.0 pct</w:t>
            </w:r>
          </w:p>
        </w:tc>
        <w:tc>
          <w:tcPr>
            <w:tcW w:type="dxa" w:w="1704"/>
          </w:tcPr>
          <w:p>
            <w:r/>
            <w:r>
              <w:rPr>
                <w:sz w:val="17"/>
              </w:rPr>
              <w:t>0.0%</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r>
        <w:tc>
          <w:tcPr>
            <w:tcW w:type="dxa" w:w="1704"/>
          </w:tcPr>
          <w:p>
            <w:r/>
            <w:r>
              <w:rPr>
                <w:sz w:val="17"/>
              </w:rPr>
              <w:t>M3.4</w:t>
            </w:r>
          </w:p>
        </w:tc>
        <w:tc>
          <w:tcPr>
            <w:tcW w:type="dxa" w:w="1704"/>
          </w:tcPr>
          <w:p>
            <w:r/>
            <w:r>
              <w:rPr>
                <w:sz w:val="17"/>
              </w:rPr>
              <w:t>Schema misuse rate (New Order with parent)</w:t>
            </w:r>
          </w:p>
        </w:tc>
        <w:tc>
          <w:tcPr>
            <w:tcW w:type="dxa" w:w="1704"/>
          </w:tcPr>
          <w:p>
            <w:r/>
            <w:r>
              <w:rPr>
                <w:sz w:val="17"/>
              </w:rPr>
              <w:t>4.89 pct</w:t>
            </w:r>
          </w:p>
        </w:tc>
        <w:tc>
          <w:tcPr>
            <w:tcW w:type="dxa" w:w="1704"/>
          </w:tcPr>
          <w:p>
            <w:r/>
            <w:r>
              <w:rPr>
                <w:sz w:val="17"/>
              </w:rPr>
              <w:t>0.0%</w:t>
            </w:r>
          </w:p>
        </w:tc>
        <w:tc>
          <w:tcPr>
            <w:tcW w:type="dxa" w:w="1704"/>
            <w:shd w:val="clear" w:color="auto" w:fill="C0392B"/>
          </w:tcPr>
          <w:p>
            <w:pPr>
              <w:jc w:val="center"/>
            </w:pPr>
            <w:r/>
            <w:r>
              <w:rPr>
                <w:b/>
                <w:color w:val="FFFFFF"/>
                <w:sz w:val="16"/>
              </w:rPr>
              <w:t>RED</w:t>
            </w:r>
          </w:p>
        </w:tc>
        <w:tc>
          <w:tcPr>
            <w:tcW w:type="dxa" w:w="1704"/>
          </w:tcPr>
          <w:p>
            <w:r/>
            <w:r>
              <w:rPr>
                <w:sz w:val="17"/>
              </w:rPr>
              <w:t>Producer</w:t>
            </w:r>
          </w:p>
        </w:tc>
      </w:tr>
    </w:tbl>
    <w:p/>
    <w:p>
      <w:r>
        <w:rPr>
          <w:b/>
          <w:i w:val="0"/>
          <w:sz w:val="20"/>
        </w:rPr>
        <w:t>Per-metric definition and rationale:</w:t>
      </w:r>
    </w:p>
    <w:p>
      <w:pPr>
        <w:ind w:left="288"/>
      </w:pPr>
      <w:r>
        <w:rPr>
          <w:b/>
          <w:sz w:val="17"/>
        </w:rPr>
        <w:t xml:space="preserve">M3.1.  </w:t>
      </w:r>
      <w:r>
        <w:rPr>
          <w:i/>
          <w:sz w:val="17"/>
        </w:rPr>
        <w:t xml:space="preserve">Definition: P2 finding A1 / count(LinkMessageId is non-null) * 100. References to MessageIds that don't exist in the file.  </w:t>
      </w:r>
      <w:r>
        <w:rPr>
          <w:sz w:val="17"/>
        </w:rPr>
        <w:t>Why: Every orphaned reference is a child event the surveillance system cannot tie to its order. Lifecycle reconstruction breaks for those rows.</w:t>
      </w:r>
    </w:p>
    <w:p>
      <w:pPr>
        <w:ind w:left="288"/>
      </w:pPr>
      <w:r>
        <w:rPr>
          <w:b/>
          <w:sz w:val="17"/>
        </w:rPr>
        <w:t xml:space="preserve">M3.2.  </w:t>
      </w:r>
      <w:r>
        <w:rPr>
          <w:i/>
          <w:sz w:val="17"/>
        </w:rPr>
        <w:t xml:space="preserve">Definition: P2 finding A2 / count(ParentOrderId is non-null) * 100. References to MessageIds that don't exist in the file.  </w:t>
      </w:r>
      <w:r>
        <w:rPr>
          <w:sz w:val="17"/>
        </w:rPr>
        <w:t>Why: Breaks the textbook 'aggregate Fill &lt;= parent volume' check (see M4.2). Producer must guarantee parent records are emitted before children.</w:t>
      </w:r>
    </w:p>
    <w:p>
      <w:pPr>
        <w:ind w:left="288"/>
      </w:pPr>
      <w:r>
        <w:rPr>
          <w:b/>
          <w:sz w:val="17"/>
        </w:rPr>
        <w:t xml:space="preserve">M3.3.  </w:t>
      </w:r>
      <w:r>
        <w:rPr>
          <w:i/>
          <w:sz w:val="17"/>
        </w:rPr>
        <w:t xml:space="preserve">Definition: P2 finding A3 / count(child events) * 100. Cancel/Replace/Fill/Reject rows where BOTH LinkMessageId AND ParentOrderId are null.  </w:t>
      </w:r>
      <w:r>
        <w:rPr>
          <w:sz w:val="17"/>
        </w:rPr>
        <w:t>Why: Hardest class of completeness gap — these rows cannot be tied to ANY order. A regulator audit will fail on these.</w:t>
      </w:r>
    </w:p>
    <w:p>
      <w:pPr>
        <w:ind w:left="288"/>
      </w:pPr>
      <w:r>
        <w:rPr>
          <w:b/>
          <w:sz w:val="17"/>
        </w:rPr>
        <w:t xml:space="preserve">M3.4.  </w:t>
      </w:r>
      <w:r>
        <w:rPr>
          <w:i/>
          <w:sz w:val="17"/>
        </w:rPr>
        <w:t xml:space="preserve">Definition: P2 finding A4 / count(New Order rows) * 100. New Orders carrying LinkMessageId or ParentOrderId.  </w:t>
      </w:r>
      <w:r>
        <w:rPr>
          <w:sz w:val="17"/>
        </w:rPr>
        <w:t>Why: Either MessageType is mislabelled or the parent column is mis-populated. Either way the surveillance system cannot trust the type label on these rows.</w:t>
      </w:r>
    </w:p>
    <w:p>
      <w:r>
        <w:br w:type="page"/>
      </w:r>
    </w:p>
    <w:p>
      <w:pPr>
        <w:pStyle w:val="Heading1"/>
      </w:pPr>
      <w:r>
        <w:rPr>
          <w:color w:val="1F3A5F"/>
        </w:rPr>
        <w:t>M4 — Lifecycle coherence</w:t>
      </w:r>
    </w:p>
    <w:tbl>
      <w:tblPr>
        <w:tblStyle w:val="LightGrid-Accent1"/>
        <w:tblW w:type="auto" w:w="0"/>
        <w:tblLayout w:type="fixed"/>
        <w:tblLook w:firstColumn="1" w:firstRow="1" w:lastColumn="0" w:lastRow="0" w:noHBand="0" w:noVBand="1" w:val="04A0"/>
      </w:tblPr>
      <w:tblGrid>
        <w:gridCol w:w="792"/>
        <w:gridCol w:w="3024"/>
        <w:gridCol w:w="1368"/>
        <w:gridCol w:w="2016"/>
        <w:gridCol w:w="1008"/>
        <w:gridCol w:w="1224"/>
      </w:tblGrid>
      <w:tr>
        <w:tc>
          <w:tcPr>
            <w:tcW w:type="dxa" w:w="1704"/>
            <w:shd w:val="clear" w:color="auto" w:fill="1F3A5F"/>
          </w:tcPr>
          <w:p>
            <w:r/>
            <w:r>
              <w:rPr>
                <w:b/>
                <w:color w:val="FFFFFF"/>
                <w:sz w:val="18"/>
              </w:rPr>
              <w:t>ID</w:t>
            </w:r>
          </w:p>
        </w:tc>
        <w:tc>
          <w:tcPr>
            <w:tcW w:type="dxa" w:w="1704"/>
            <w:shd w:val="clear" w:color="auto" w:fill="1F3A5F"/>
          </w:tcPr>
          <w:p>
            <w:r/>
            <w:r>
              <w:rPr>
                <w:b/>
                <w:color w:val="FFFFFF"/>
                <w:sz w:val="18"/>
              </w:rPr>
              <w:t>Metric</w:t>
            </w:r>
          </w:p>
        </w:tc>
        <w:tc>
          <w:tcPr>
            <w:tcW w:type="dxa" w:w="1704"/>
            <w:shd w:val="clear" w:color="auto" w:fill="1F3A5F"/>
          </w:tcPr>
          <w:p>
            <w:r/>
            <w:r>
              <w:rPr>
                <w:b/>
                <w:color w:val="FFFFFF"/>
                <w:sz w:val="18"/>
              </w:rPr>
              <w:t>Value</w:t>
            </w:r>
          </w:p>
        </w:tc>
        <w:tc>
          <w:tcPr>
            <w:tcW w:type="dxa" w:w="1704"/>
            <w:shd w:val="clear" w:color="auto" w:fill="1F3A5F"/>
          </w:tcPr>
          <w:p>
            <w:r/>
            <w:r>
              <w:rPr>
                <w:b/>
                <w:color w:val="FFFFFF"/>
                <w:sz w:val="18"/>
              </w:rPr>
              <w:t>Target</w:t>
            </w:r>
          </w:p>
        </w:tc>
        <w:tc>
          <w:tcPr>
            <w:tcW w:type="dxa" w:w="1704"/>
            <w:shd w:val="clear" w:color="auto" w:fill="1F3A5F"/>
          </w:tcPr>
          <w:p>
            <w:r/>
            <w:r>
              <w:rPr>
                <w:b/>
                <w:color w:val="FFFFFF"/>
                <w:sz w:val="18"/>
              </w:rPr>
              <w:t>Status</w:t>
            </w:r>
          </w:p>
        </w:tc>
        <w:tc>
          <w:tcPr>
            <w:tcW w:type="dxa" w:w="1704"/>
            <w:shd w:val="clear" w:color="auto" w:fill="1F3A5F"/>
          </w:tcPr>
          <w:p>
            <w:r/>
            <w:r>
              <w:rPr>
                <w:b/>
                <w:color w:val="FFFFFF"/>
                <w:sz w:val="18"/>
              </w:rPr>
              <w:t>Owner</w:t>
            </w:r>
          </w:p>
        </w:tc>
      </w:tr>
      <w:tr>
        <w:tc>
          <w:tcPr>
            <w:tcW w:type="dxa" w:w="1704"/>
          </w:tcPr>
          <w:p>
            <w:r/>
            <w:r>
              <w:rPr>
                <w:sz w:val="17"/>
              </w:rPr>
              <w:t>M4.1</w:t>
            </w:r>
          </w:p>
        </w:tc>
        <w:tc>
          <w:tcPr>
            <w:tcW w:type="dxa" w:w="1704"/>
          </w:tcPr>
          <w:p>
            <w:r/>
            <w:r>
              <w:rPr>
                <w:sz w:val="17"/>
              </w:rPr>
              <w:t>Time-travel rate (child before parent)</w:t>
            </w:r>
          </w:p>
        </w:tc>
        <w:tc>
          <w:tcPr>
            <w:tcW w:type="dxa" w:w="1704"/>
          </w:tcPr>
          <w:p>
            <w:r/>
            <w:r>
              <w:rPr>
                <w:sz w:val="17"/>
              </w:rPr>
              <w:t>6.06 pct</w:t>
            </w:r>
          </w:p>
        </w:tc>
        <w:tc>
          <w:tcPr>
            <w:tcW w:type="dxa" w:w="1704"/>
          </w:tcPr>
          <w:p>
            <w:r/>
            <w:r>
              <w:rPr>
                <w:sz w:val="17"/>
              </w:rPr>
              <w:t>0.0%</w:t>
            </w:r>
          </w:p>
        </w:tc>
        <w:tc>
          <w:tcPr>
            <w:tcW w:type="dxa" w:w="1704"/>
            <w:shd w:val="clear" w:color="auto" w:fill="C0392B"/>
          </w:tcPr>
          <w:p>
            <w:pPr>
              <w:jc w:val="center"/>
            </w:pPr>
            <w:r/>
            <w:r>
              <w:rPr>
                <w:b/>
                <w:color w:val="FFFFFF"/>
                <w:sz w:val="16"/>
              </w:rPr>
              <w:t>RED</w:t>
            </w:r>
          </w:p>
        </w:tc>
        <w:tc>
          <w:tcPr>
            <w:tcW w:type="dxa" w:w="1704"/>
          </w:tcPr>
          <w:p>
            <w:r/>
            <w:r>
              <w:rPr>
                <w:sz w:val="17"/>
              </w:rPr>
              <w:t>Producer</w:t>
            </w:r>
          </w:p>
        </w:tc>
      </w:tr>
      <w:tr>
        <w:tc>
          <w:tcPr>
            <w:tcW w:type="dxa" w:w="1704"/>
          </w:tcPr>
          <w:p>
            <w:r/>
            <w:r>
              <w:rPr>
                <w:sz w:val="17"/>
              </w:rPr>
              <w:t>M4.2</w:t>
            </w:r>
          </w:p>
        </w:tc>
        <w:tc>
          <w:tcPr>
            <w:tcW w:type="dxa" w:w="1704"/>
          </w:tcPr>
          <w:p>
            <w:r/>
            <w:r>
              <w:rPr>
                <w:sz w:val="17"/>
              </w:rPr>
              <w:t>Over-fill rate (parents where fills &gt; order volume)</w:t>
            </w:r>
          </w:p>
        </w:tc>
        <w:tc>
          <w:tcPr>
            <w:tcW w:type="dxa" w:w="1704"/>
          </w:tcPr>
          <w:p>
            <w:r/>
            <w:r>
              <w:rPr>
                <w:sz w:val="17"/>
              </w:rPr>
              <w:t>4.4 pct</w:t>
            </w:r>
          </w:p>
        </w:tc>
        <w:tc>
          <w:tcPr>
            <w:tcW w:type="dxa" w:w="1704"/>
          </w:tcPr>
          <w:p>
            <w:r/>
            <w:r>
              <w:rPr>
                <w:sz w:val="17"/>
              </w:rPr>
              <w:t>0.0%</w:t>
            </w:r>
          </w:p>
        </w:tc>
        <w:tc>
          <w:tcPr>
            <w:tcW w:type="dxa" w:w="1704"/>
            <w:shd w:val="clear" w:color="auto" w:fill="C0392B"/>
          </w:tcPr>
          <w:p>
            <w:pPr>
              <w:jc w:val="center"/>
            </w:pPr>
            <w:r/>
            <w:r>
              <w:rPr>
                <w:b/>
                <w:color w:val="FFFFFF"/>
                <w:sz w:val="16"/>
              </w:rPr>
              <w:t>RED</w:t>
            </w:r>
          </w:p>
        </w:tc>
        <w:tc>
          <w:tcPr>
            <w:tcW w:type="dxa" w:w="1704"/>
          </w:tcPr>
          <w:p>
            <w:r/>
            <w:r>
              <w:rPr>
                <w:sz w:val="17"/>
              </w:rPr>
              <w:t>Producer</w:t>
            </w:r>
          </w:p>
        </w:tc>
      </w:tr>
      <w:tr>
        <w:tc>
          <w:tcPr>
            <w:tcW w:type="dxa" w:w="1704"/>
          </w:tcPr>
          <w:p>
            <w:r/>
            <w:r>
              <w:rPr>
                <w:sz w:val="17"/>
              </w:rPr>
              <w:t>M4.3</w:t>
            </w:r>
          </w:p>
        </w:tc>
        <w:tc>
          <w:tcPr>
            <w:tcW w:type="dxa" w:w="1704"/>
          </w:tcPr>
          <w:p>
            <w:r/>
            <w:r>
              <w:rPr>
                <w:sz w:val="17"/>
              </w:rPr>
              <w:t>Fill-after-cancel rows</w:t>
            </w:r>
          </w:p>
        </w:tc>
        <w:tc>
          <w:tcPr>
            <w:tcW w:type="dxa" w:w="1704"/>
          </w:tcPr>
          <w:p>
            <w:r/>
            <w:r>
              <w:rPr>
                <w:sz w:val="17"/>
              </w:rPr>
              <w:t>1286 records</w:t>
            </w:r>
          </w:p>
        </w:tc>
        <w:tc>
          <w:tcPr>
            <w:tcW w:type="dxa" w:w="1704"/>
          </w:tcPr>
          <w:p>
            <w:r/>
            <w:r>
              <w:rPr>
                <w:sz w:val="17"/>
              </w:rPr>
              <w:t>Investigate (real edge cases exist)</w:t>
            </w:r>
          </w:p>
        </w:tc>
        <w:tc>
          <w:tcPr>
            <w:tcW w:type="dxa" w:w="1704"/>
            <w:shd w:val="clear" w:color="auto" w:fill="E67E22"/>
          </w:tcPr>
          <w:p>
            <w:pPr>
              <w:jc w:val="center"/>
            </w:pPr>
            <w:r/>
            <w:r>
              <w:rPr>
                <w:b/>
                <w:color w:val="FFFFFF"/>
                <w:sz w:val="16"/>
              </w:rPr>
              <w:t>AMBER</w:t>
            </w:r>
          </w:p>
        </w:tc>
        <w:tc>
          <w:tcPr>
            <w:tcW w:type="dxa" w:w="1704"/>
          </w:tcPr>
          <w:p>
            <w:r/>
            <w:r>
              <w:rPr>
                <w:sz w:val="17"/>
              </w:rPr>
              <w:t>Surveillance team</w:t>
            </w:r>
          </w:p>
        </w:tc>
      </w:tr>
      <w:tr>
        <w:tc>
          <w:tcPr>
            <w:tcW w:type="dxa" w:w="1704"/>
          </w:tcPr>
          <w:p>
            <w:r/>
            <w:r>
              <w:rPr>
                <w:sz w:val="17"/>
              </w:rPr>
              <w:t>M4.4</w:t>
            </w:r>
          </w:p>
        </w:tc>
        <w:tc>
          <w:tcPr>
            <w:tcW w:type="dxa" w:w="1704"/>
          </w:tcPr>
          <w:p>
            <w:r/>
            <w:r>
              <w:rPr>
                <w:sz w:val="17"/>
              </w:rPr>
              <w:t>Replace-without-parent rate</w:t>
            </w:r>
          </w:p>
        </w:tc>
        <w:tc>
          <w:tcPr>
            <w:tcW w:type="dxa" w:w="1704"/>
          </w:tcPr>
          <w:p>
            <w:r/>
            <w:r>
              <w:rPr>
                <w:sz w:val="17"/>
              </w:rPr>
              <w:t>9.9 pct</w:t>
            </w:r>
          </w:p>
        </w:tc>
        <w:tc>
          <w:tcPr>
            <w:tcW w:type="dxa" w:w="1704"/>
          </w:tcPr>
          <w:p>
            <w:r/>
            <w:r>
              <w:rPr>
                <w:sz w:val="17"/>
              </w:rPr>
              <w:t>0.0%</w:t>
            </w:r>
          </w:p>
        </w:tc>
        <w:tc>
          <w:tcPr>
            <w:tcW w:type="dxa" w:w="1704"/>
            <w:shd w:val="clear" w:color="auto" w:fill="C0392B"/>
          </w:tcPr>
          <w:p>
            <w:pPr>
              <w:jc w:val="center"/>
            </w:pPr>
            <w:r/>
            <w:r>
              <w:rPr>
                <w:b/>
                <w:color w:val="FFFFFF"/>
                <w:sz w:val="16"/>
              </w:rPr>
              <w:t>RED</w:t>
            </w:r>
          </w:p>
        </w:tc>
        <w:tc>
          <w:tcPr>
            <w:tcW w:type="dxa" w:w="1704"/>
          </w:tcPr>
          <w:p>
            <w:r/>
            <w:r>
              <w:rPr>
                <w:sz w:val="17"/>
              </w:rPr>
              <w:t>Producer</w:t>
            </w:r>
          </w:p>
        </w:tc>
      </w:tr>
    </w:tbl>
    <w:p/>
    <w:p>
      <w:r>
        <w:rPr>
          <w:b/>
          <w:i w:val="0"/>
          <w:sz w:val="20"/>
        </w:rPr>
        <w:t>Per-metric definition and rationale:</w:t>
      </w:r>
    </w:p>
    <w:p>
      <w:pPr>
        <w:ind w:left="288"/>
      </w:pPr>
      <w:r>
        <w:rPr>
          <w:b/>
          <w:sz w:val="17"/>
        </w:rPr>
        <w:t xml:space="preserve">M4.1.  </w:t>
      </w:r>
      <w:r>
        <w:rPr>
          <w:i/>
          <w:sz w:val="17"/>
        </w:rPr>
        <w:t xml:space="preserve">Definition: P2 finding B1 / count(children with resolvable parent) * 100. Child event timestamp &lt; parent timestamp.  </w:t>
      </w:r>
      <w:r>
        <w:rPr>
          <w:sz w:val="17"/>
        </w:rPr>
        <w:t>Why: Physically impossible. Indicates either timestamp corruption (clock skew at the producer) or misassigned parent reference.</w:t>
      </w:r>
    </w:p>
    <w:p>
      <w:pPr>
        <w:ind w:left="288"/>
      </w:pPr>
      <w:r>
        <w:rPr>
          <w:b/>
          <w:sz w:val="17"/>
        </w:rPr>
        <w:t xml:space="preserve">M4.2.  </w:t>
      </w:r>
      <w:r>
        <w:rPr>
          <w:i/>
          <w:sz w:val="17"/>
        </w:rPr>
        <w:t xml:space="preserve">Definition: P2 finding B2 / count(parents with at least one fill) * 100.  </w:t>
      </w:r>
      <w:r>
        <w:rPr>
          <w:sz w:val="17"/>
        </w:rPr>
        <w:t>Why: Median over-fill on this dataset is 6.25% (plausible rounding); MAX is 12500.0% (impossible — corruption).</w:t>
      </w:r>
    </w:p>
    <w:p>
      <w:pPr>
        <w:ind w:left="288"/>
      </w:pPr>
      <w:r>
        <w:rPr>
          <w:b/>
          <w:sz w:val="17"/>
        </w:rPr>
        <w:t xml:space="preserve">M4.3.  </w:t>
      </w:r>
      <w:r>
        <w:rPr>
          <w:i/>
          <w:sz w:val="17"/>
        </w:rPr>
        <w:t xml:space="preserve">Definition: P2 finding B3. Fill on a parent that was already Cancelled.  </w:t>
      </w:r>
      <w:r>
        <w:rPr>
          <w:sz w:val="17"/>
        </w:rPr>
        <w:t>Why: On REAL data this is a surveillance alert (race condition or fabricated fill). On synthetic data the count is high — likely seeded. The rule is wired correctly either way.</w:t>
      </w:r>
    </w:p>
    <w:p>
      <w:pPr>
        <w:ind w:left="288"/>
      </w:pPr>
      <w:r>
        <w:rPr>
          <w:b/>
          <w:sz w:val="17"/>
        </w:rPr>
        <w:t xml:space="preserve">M4.4.  </w:t>
      </w:r>
      <w:r>
        <w:rPr>
          <w:i/>
          <w:sz w:val="17"/>
        </w:rPr>
        <w:t xml:space="preserve">Definition: P2 finding B4 / count(Replace Order rows) * 100.  </w:t>
      </w:r>
      <w:r>
        <w:rPr>
          <w:sz w:val="17"/>
        </w:rPr>
        <w:t>Why: Replace is meaningless without the order it's replacing — surveillance can't compare old vs new price/quantity.</w:t>
      </w:r>
    </w:p>
    <w:p>
      <w:r>
        <w:br w:type="page"/>
      </w:r>
    </w:p>
    <w:p>
      <w:pPr>
        <w:pStyle w:val="Heading1"/>
      </w:pPr>
      <w:r>
        <w:rPr>
          <w:color w:val="1F3A5F"/>
        </w:rPr>
        <w:t>M5 — Reference data stability</w:t>
      </w:r>
    </w:p>
    <w:tbl>
      <w:tblPr>
        <w:tblStyle w:val="LightGrid-Accent1"/>
        <w:tblW w:type="auto" w:w="0"/>
        <w:tblLayout w:type="fixed"/>
        <w:tblLook w:firstColumn="1" w:firstRow="1" w:lastColumn="0" w:lastRow="0" w:noHBand="0" w:noVBand="1" w:val="04A0"/>
      </w:tblPr>
      <w:tblGrid>
        <w:gridCol w:w="792"/>
        <w:gridCol w:w="3024"/>
        <w:gridCol w:w="1368"/>
        <w:gridCol w:w="2016"/>
        <w:gridCol w:w="1008"/>
        <w:gridCol w:w="1224"/>
      </w:tblGrid>
      <w:tr>
        <w:tc>
          <w:tcPr>
            <w:tcW w:type="dxa" w:w="1704"/>
            <w:shd w:val="clear" w:color="auto" w:fill="1F3A5F"/>
          </w:tcPr>
          <w:p>
            <w:r/>
            <w:r>
              <w:rPr>
                <w:b/>
                <w:color w:val="FFFFFF"/>
                <w:sz w:val="18"/>
              </w:rPr>
              <w:t>ID</w:t>
            </w:r>
          </w:p>
        </w:tc>
        <w:tc>
          <w:tcPr>
            <w:tcW w:type="dxa" w:w="1704"/>
            <w:shd w:val="clear" w:color="auto" w:fill="1F3A5F"/>
          </w:tcPr>
          <w:p>
            <w:r/>
            <w:r>
              <w:rPr>
                <w:b/>
                <w:color w:val="FFFFFF"/>
                <w:sz w:val="18"/>
              </w:rPr>
              <w:t>Metric</w:t>
            </w:r>
          </w:p>
        </w:tc>
        <w:tc>
          <w:tcPr>
            <w:tcW w:type="dxa" w:w="1704"/>
            <w:shd w:val="clear" w:color="auto" w:fill="1F3A5F"/>
          </w:tcPr>
          <w:p>
            <w:r/>
            <w:r>
              <w:rPr>
                <w:b/>
                <w:color w:val="FFFFFF"/>
                <w:sz w:val="18"/>
              </w:rPr>
              <w:t>Value</w:t>
            </w:r>
          </w:p>
        </w:tc>
        <w:tc>
          <w:tcPr>
            <w:tcW w:type="dxa" w:w="1704"/>
            <w:shd w:val="clear" w:color="auto" w:fill="1F3A5F"/>
          </w:tcPr>
          <w:p>
            <w:r/>
            <w:r>
              <w:rPr>
                <w:b/>
                <w:color w:val="FFFFFF"/>
                <w:sz w:val="18"/>
              </w:rPr>
              <w:t>Target</w:t>
            </w:r>
          </w:p>
        </w:tc>
        <w:tc>
          <w:tcPr>
            <w:tcW w:type="dxa" w:w="1704"/>
            <w:shd w:val="clear" w:color="auto" w:fill="1F3A5F"/>
          </w:tcPr>
          <w:p>
            <w:r/>
            <w:r>
              <w:rPr>
                <w:b/>
                <w:color w:val="FFFFFF"/>
                <w:sz w:val="18"/>
              </w:rPr>
              <w:t>Status</w:t>
            </w:r>
          </w:p>
        </w:tc>
        <w:tc>
          <w:tcPr>
            <w:tcW w:type="dxa" w:w="1704"/>
            <w:shd w:val="clear" w:color="auto" w:fill="1F3A5F"/>
          </w:tcPr>
          <w:p>
            <w:r/>
            <w:r>
              <w:rPr>
                <w:b/>
                <w:color w:val="FFFFFF"/>
                <w:sz w:val="18"/>
              </w:rPr>
              <w:t>Owner</w:t>
            </w:r>
          </w:p>
        </w:tc>
      </w:tr>
      <w:tr>
        <w:tc>
          <w:tcPr>
            <w:tcW w:type="dxa" w:w="1704"/>
          </w:tcPr>
          <w:p>
            <w:r/>
            <w:r>
              <w:rPr>
                <w:sz w:val="17"/>
              </w:rPr>
              <w:t>M5.1</w:t>
            </w:r>
          </w:p>
        </w:tc>
        <w:tc>
          <w:tcPr>
            <w:tcW w:type="dxa" w:w="1704"/>
          </w:tcPr>
          <w:p>
            <w:r/>
            <w:r>
              <w:rPr>
                <w:sz w:val="17"/>
              </w:rPr>
              <w:t>Instrument-&gt;ISIN drift rate</w:t>
            </w:r>
          </w:p>
        </w:tc>
        <w:tc>
          <w:tcPr>
            <w:tcW w:type="dxa" w:w="1704"/>
          </w:tcPr>
          <w:p>
            <w:r/>
            <w:r>
              <w:rPr>
                <w:sz w:val="17"/>
              </w:rPr>
              <w:t>88.8 pct</w:t>
            </w:r>
          </w:p>
        </w:tc>
        <w:tc>
          <w:tcPr>
            <w:tcW w:type="dxa" w:w="1704"/>
          </w:tcPr>
          <w:p>
            <w:r/>
            <w:r>
              <w:rPr>
                <w:sz w:val="17"/>
              </w:rPr>
              <w:t>&lt; 1.0%</w:t>
            </w:r>
          </w:p>
        </w:tc>
        <w:tc>
          <w:tcPr>
            <w:tcW w:type="dxa" w:w="1704"/>
            <w:shd w:val="clear" w:color="auto" w:fill="C0392B"/>
          </w:tcPr>
          <w:p>
            <w:pPr>
              <w:jc w:val="center"/>
            </w:pPr>
            <w:r/>
            <w:r>
              <w:rPr>
                <w:b/>
                <w:color w:val="FFFFFF"/>
                <w:sz w:val="16"/>
              </w:rPr>
              <w:t>RED</w:t>
            </w:r>
          </w:p>
        </w:tc>
        <w:tc>
          <w:tcPr>
            <w:tcW w:type="dxa" w:w="1704"/>
          </w:tcPr>
          <w:p>
            <w:r/>
            <w:r>
              <w:rPr>
                <w:sz w:val="17"/>
              </w:rPr>
              <w:t>Producer</w:t>
            </w:r>
          </w:p>
        </w:tc>
      </w:tr>
      <w:tr>
        <w:tc>
          <w:tcPr>
            <w:tcW w:type="dxa" w:w="1704"/>
          </w:tcPr>
          <w:p>
            <w:r/>
            <w:r>
              <w:rPr>
                <w:sz w:val="17"/>
              </w:rPr>
              <w:t>M5.2</w:t>
            </w:r>
          </w:p>
        </w:tc>
        <w:tc>
          <w:tcPr>
            <w:tcW w:type="dxa" w:w="1704"/>
          </w:tcPr>
          <w:p>
            <w:r/>
            <w:r>
              <w:rPr>
                <w:sz w:val="17"/>
              </w:rPr>
              <w:t>ISIN-&gt;Instrument drift rate</w:t>
            </w:r>
          </w:p>
        </w:tc>
        <w:tc>
          <w:tcPr>
            <w:tcW w:type="dxa" w:w="1704"/>
          </w:tcPr>
          <w:p>
            <w:r/>
            <w:r>
              <w:rPr>
                <w:sz w:val="17"/>
              </w:rPr>
              <w:t>0.0 pct</w:t>
            </w:r>
          </w:p>
        </w:tc>
        <w:tc>
          <w:tcPr>
            <w:tcW w:type="dxa" w:w="1704"/>
          </w:tcPr>
          <w:p>
            <w:r/>
            <w:r>
              <w:rPr>
                <w:sz w:val="17"/>
              </w:rPr>
              <w:t>0.0%</w:t>
            </w:r>
          </w:p>
        </w:tc>
        <w:tc>
          <w:tcPr>
            <w:tcW w:type="dxa" w:w="1704"/>
            <w:shd w:val="clear" w:color="auto" w:fill="27AE60"/>
          </w:tcPr>
          <w:p>
            <w:pPr>
              <w:jc w:val="center"/>
            </w:pPr>
            <w:r/>
            <w:r>
              <w:rPr>
                <w:b/>
                <w:color w:val="FFFFFF"/>
                <w:sz w:val="16"/>
              </w:rPr>
              <w:t>GREEN</w:t>
            </w:r>
          </w:p>
        </w:tc>
        <w:tc>
          <w:tcPr>
            <w:tcW w:type="dxa" w:w="1704"/>
          </w:tcPr>
          <w:p>
            <w:r/>
            <w:r>
              <w:rPr>
                <w:sz w:val="17"/>
              </w:rPr>
              <w:t>Producer</w:t>
            </w:r>
          </w:p>
        </w:tc>
      </w:tr>
      <w:tr>
        <w:tc>
          <w:tcPr>
            <w:tcW w:type="dxa" w:w="1704"/>
          </w:tcPr>
          <w:p>
            <w:r/>
            <w:r>
              <w:rPr>
                <w:sz w:val="17"/>
              </w:rPr>
              <w:t>M5.3</w:t>
            </w:r>
          </w:p>
        </w:tc>
        <w:tc>
          <w:tcPr>
            <w:tcW w:type="dxa" w:w="1704"/>
          </w:tcPr>
          <w:p>
            <w:r/>
            <w:r>
              <w:rPr>
                <w:sz w:val="17"/>
              </w:rPr>
              <w:t>Account == CounterPartyFirm collapse rate</w:t>
            </w:r>
          </w:p>
        </w:tc>
        <w:tc>
          <w:tcPr>
            <w:tcW w:type="dxa" w:w="1704"/>
          </w:tcPr>
          <w:p>
            <w:r/>
            <w:r>
              <w:rPr>
                <w:sz w:val="17"/>
              </w:rPr>
              <w:t>97.37 pct</w:t>
            </w:r>
          </w:p>
        </w:tc>
        <w:tc>
          <w:tcPr>
            <w:tcW w:type="dxa" w:w="1704"/>
          </w:tcPr>
          <w:p>
            <w:r/>
            <w:r>
              <w:rPr>
                <w:sz w:val="17"/>
              </w:rPr>
              <w:t>&lt; 5.0% (PROP-only is acceptable)</w:t>
            </w:r>
          </w:p>
        </w:tc>
        <w:tc>
          <w:tcPr>
            <w:tcW w:type="dxa" w:w="1704"/>
            <w:shd w:val="clear" w:color="auto" w:fill="C0392B"/>
          </w:tcPr>
          <w:p>
            <w:pPr>
              <w:jc w:val="center"/>
            </w:pPr>
            <w:r/>
            <w:r>
              <w:rPr>
                <w:b/>
                <w:color w:val="FFFFFF"/>
                <w:sz w:val="16"/>
              </w:rPr>
              <w:t>RED</w:t>
            </w:r>
          </w:p>
        </w:tc>
        <w:tc>
          <w:tcPr>
            <w:tcW w:type="dxa" w:w="1704"/>
          </w:tcPr>
          <w:p>
            <w:r/>
            <w:r>
              <w:rPr>
                <w:sz w:val="17"/>
              </w:rPr>
              <w:t>Producer</w:t>
            </w:r>
          </w:p>
        </w:tc>
      </w:tr>
      <w:tr>
        <w:tc>
          <w:tcPr>
            <w:tcW w:type="dxa" w:w="1704"/>
          </w:tcPr>
          <w:p>
            <w:r/>
            <w:r>
              <w:rPr>
                <w:sz w:val="17"/>
              </w:rPr>
              <w:t>M5.4</w:t>
            </w:r>
          </w:p>
        </w:tc>
        <w:tc>
          <w:tcPr>
            <w:tcW w:type="dxa" w:w="1704"/>
          </w:tcPr>
          <w:p>
            <w:r/>
            <w:r>
              <w:rPr>
                <w:sz w:val="17"/>
              </w:rPr>
              <w:t>Non-PROP self-cross rate</w:t>
            </w:r>
          </w:p>
        </w:tc>
        <w:tc>
          <w:tcPr>
            <w:tcW w:type="dxa" w:w="1704"/>
          </w:tcPr>
          <w:p>
            <w:r/>
            <w:r>
              <w:rPr>
                <w:sz w:val="17"/>
              </w:rPr>
              <w:t>61.79 pct</w:t>
            </w:r>
          </w:p>
        </w:tc>
        <w:tc>
          <w:tcPr>
            <w:tcW w:type="dxa" w:w="1704"/>
          </w:tcPr>
          <w:p>
            <w:r/>
            <w:r>
              <w:rPr>
                <w:sz w:val="17"/>
              </w:rPr>
              <w:t>&lt; 0.5%</w:t>
            </w:r>
          </w:p>
        </w:tc>
        <w:tc>
          <w:tcPr>
            <w:tcW w:type="dxa" w:w="1704"/>
            <w:shd w:val="clear" w:color="auto" w:fill="C0392B"/>
          </w:tcPr>
          <w:p>
            <w:pPr>
              <w:jc w:val="center"/>
            </w:pPr>
            <w:r/>
            <w:r>
              <w:rPr>
                <w:b/>
                <w:color w:val="FFFFFF"/>
                <w:sz w:val="16"/>
              </w:rPr>
              <w:t>RED</w:t>
            </w:r>
          </w:p>
        </w:tc>
        <w:tc>
          <w:tcPr>
            <w:tcW w:type="dxa" w:w="1704"/>
          </w:tcPr>
          <w:p>
            <w:r/>
            <w:r>
              <w:rPr>
                <w:sz w:val="17"/>
              </w:rPr>
              <w:t>Producer</w:t>
            </w:r>
          </w:p>
        </w:tc>
      </w:tr>
    </w:tbl>
    <w:p/>
    <w:p>
      <w:r>
        <w:rPr>
          <w:b/>
          <w:i w:val="0"/>
          <w:sz w:val="20"/>
        </w:rPr>
        <w:t>Per-metric definition and rationale:</w:t>
      </w:r>
    </w:p>
    <w:p>
      <w:pPr>
        <w:ind w:left="288"/>
      </w:pPr>
      <w:r>
        <w:rPr>
          <w:b/>
          <w:sz w:val="17"/>
        </w:rPr>
        <w:t xml:space="preserve">M5.1.  </w:t>
      </w:r>
      <w:r>
        <w:rPr>
          <w:i/>
          <w:sz w:val="17"/>
        </w:rPr>
        <w:t xml:space="preserve">Definition: P2 finding C1 / total distinct instruments * 100. Instruments mapped to multiple ISINs.  </w:t>
      </w:r>
      <w:r>
        <w:rPr>
          <w:sz w:val="17"/>
        </w:rPr>
        <w:t>Why: HEADLINE DQ FINDING. Per-instrument surveillance rules (price outlier, position aggregation, market-data join) cannot fire reliably until this is resolved.</w:t>
      </w:r>
    </w:p>
    <w:p>
      <w:pPr>
        <w:ind w:left="288"/>
      </w:pPr>
      <w:r>
        <w:rPr>
          <w:b/>
          <w:sz w:val="17"/>
        </w:rPr>
        <w:t xml:space="preserve">M5.2.  </w:t>
      </w:r>
      <w:r>
        <w:rPr>
          <w:i/>
          <w:sz w:val="17"/>
        </w:rPr>
        <w:t xml:space="preserve">Definition: P2 finding C2 / total distinct ISINs * 100. Reverse mapping.  </w:t>
      </w:r>
      <w:r>
        <w:rPr>
          <w:sz w:val="17"/>
        </w:rPr>
        <w:t>Why: Reverse mapping is stable on this dataset (0%). Reported here so the asymmetry with M5.1 is documented.</w:t>
      </w:r>
    </w:p>
    <w:p>
      <w:pPr>
        <w:ind w:left="288"/>
      </w:pPr>
      <w:r>
        <w:rPr>
          <w:b/>
          <w:sz w:val="17"/>
        </w:rPr>
        <w:t xml:space="preserve">M5.3.  </w:t>
      </w:r>
      <w:r>
        <w:rPr>
          <w:i/>
          <w:sz w:val="17"/>
        </w:rPr>
        <w:t xml:space="preserve">Definition: P2 finding D1 / total rows * 100. Account string identical to CPF string.  </w:t>
      </w:r>
      <w:r>
        <w:rPr>
          <w:sz w:val="17"/>
        </w:rPr>
        <w:t>Why: Stage-1 profile shows Account has 1,043 distinct values vs CPF's 100, so granular accounts EXIST but are absent on 97.37% of rows. Looks like an upstream column-copy bug.</w:t>
      </w:r>
    </w:p>
    <w:p>
      <w:pPr>
        <w:ind w:left="288"/>
      </w:pPr>
      <w:r>
        <w:rPr>
          <w:b/>
          <w:sz w:val="17"/>
        </w:rPr>
        <w:t xml:space="preserve">M5.4.  </w:t>
      </w:r>
      <w:r>
        <w:rPr>
          <w:i/>
          <w:sz w:val="17"/>
        </w:rPr>
        <w:t xml:space="preserve">Definition: Subset of M5.3 where Account prefix is not PROP. These are the wash-trade-relevant ones.  </w:t>
      </w:r>
      <w:r>
        <w:rPr>
          <w:sz w:val="17"/>
        </w:rPr>
        <w:t>Why: PROP self-cross is legit; CLNT/BRKR/INST self-cross should be reviewed. Currently masked by M5.3 — fix M5.3 first.</w:t>
      </w:r>
    </w:p>
    <w:p>
      <w:r>
        <w:br w:type="page"/>
      </w:r>
    </w:p>
    <w:p>
      <w:pPr>
        <w:pStyle w:val="Heading1"/>
      </w:pPr>
      <w:r>
        <w:rPr>
          <w:color w:val="1F3A5F"/>
        </w:rPr>
        <w:t>M6 — Attribution coverage</w:t>
      </w:r>
    </w:p>
    <w:tbl>
      <w:tblPr>
        <w:tblStyle w:val="LightGrid-Accent1"/>
        <w:tblW w:type="auto" w:w="0"/>
        <w:tblLayout w:type="fixed"/>
        <w:tblLook w:firstColumn="1" w:firstRow="1" w:lastColumn="0" w:lastRow="0" w:noHBand="0" w:noVBand="1" w:val="04A0"/>
      </w:tblPr>
      <w:tblGrid>
        <w:gridCol w:w="792"/>
        <w:gridCol w:w="3024"/>
        <w:gridCol w:w="1368"/>
        <w:gridCol w:w="2016"/>
        <w:gridCol w:w="1008"/>
        <w:gridCol w:w="1224"/>
      </w:tblGrid>
      <w:tr>
        <w:tc>
          <w:tcPr>
            <w:tcW w:type="dxa" w:w="1704"/>
            <w:shd w:val="clear" w:color="auto" w:fill="1F3A5F"/>
          </w:tcPr>
          <w:p>
            <w:r/>
            <w:r>
              <w:rPr>
                <w:b/>
                <w:color w:val="FFFFFF"/>
                <w:sz w:val="18"/>
              </w:rPr>
              <w:t>ID</w:t>
            </w:r>
          </w:p>
        </w:tc>
        <w:tc>
          <w:tcPr>
            <w:tcW w:type="dxa" w:w="1704"/>
            <w:shd w:val="clear" w:color="auto" w:fill="1F3A5F"/>
          </w:tcPr>
          <w:p>
            <w:r/>
            <w:r>
              <w:rPr>
                <w:b/>
                <w:color w:val="FFFFFF"/>
                <w:sz w:val="18"/>
              </w:rPr>
              <w:t>Metric</w:t>
            </w:r>
          </w:p>
        </w:tc>
        <w:tc>
          <w:tcPr>
            <w:tcW w:type="dxa" w:w="1704"/>
            <w:shd w:val="clear" w:color="auto" w:fill="1F3A5F"/>
          </w:tcPr>
          <w:p>
            <w:r/>
            <w:r>
              <w:rPr>
                <w:b/>
                <w:color w:val="FFFFFF"/>
                <w:sz w:val="18"/>
              </w:rPr>
              <w:t>Value</w:t>
            </w:r>
          </w:p>
        </w:tc>
        <w:tc>
          <w:tcPr>
            <w:tcW w:type="dxa" w:w="1704"/>
            <w:shd w:val="clear" w:color="auto" w:fill="1F3A5F"/>
          </w:tcPr>
          <w:p>
            <w:r/>
            <w:r>
              <w:rPr>
                <w:b/>
                <w:color w:val="FFFFFF"/>
                <w:sz w:val="18"/>
              </w:rPr>
              <w:t>Target</w:t>
            </w:r>
          </w:p>
        </w:tc>
        <w:tc>
          <w:tcPr>
            <w:tcW w:type="dxa" w:w="1704"/>
            <w:shd w:val="clear" w:color="auto" w:fill="1F3A5F"/>
          </w:tcPr>
          <w:p>
            <w:r/>
            <w:r>
              <w:rPr>
                <w:b/>
                <w:color w:val="FFFFFF"/>
                <w:sz w:val="18"/>
              </w:rPr>
              <w:t>Status</w:t>
            </w:r>
          </w:p>
        </w:tc>
        <w:tc>
          <w:tcPr>
            <w:tcW w:type="dxa" w:w="1704"/>
            <w:shd w:val="clear" w:color="auto" w:fill="1F3A5F"/>
          </w:tcPr>
          <w:p>
            <w:r/>
            <w:r>
              <w:rPr>
                <w:b/>
                <w:color w:val="FFFFFF"/>
                <w:sz w:val="18"/>
              </w:rPr>
              <w:t>Owner</w:t>
            </w:r>
          </w:p>
        </w:tc>
      </w:tr>
      <w:tr>
        <w:tc>
          <w:tcPr>
            <w:tcW w:type="dxa" w:w="1704"/>
          </w:tcPr>
          <w:p>
            <w:r/>
            <w:r>
              <w:rPr>
                <w:sz w:val="17"/>
              </w:rPr>
              <w:t>M6.1</w:t>
            </w:r>
          </w:p>
        </w:tc>
        <w:tc>
          <w:tcPr>
            <w:tcW w:type="dxa" w:w="1704"/>
          </w:tcPr>
          <w:p>
            <w:r/>
            <w:r>
              <w:rPr>
                <w:sz w:val="17"/>
              </w:rPr>
              <w:t>Fill attribution rate (% of fills with Trader)</w:t>
            </w:r>
          </w:p>
        </w:tc>
        <w:tc>
          <w:tcPr>
            <w:tcW w:type="dxa" w:w="1704"/>
          </w:tcPr>
          <w:p>
            <w:r/>
            <w:r>
              <w:rPr>
                <w:sz w:val="17"/>
              </w:rPr>
              <w:t>35.13 pct</w:t>
            </w:r>
          </w:p>
        </w:tc>
        <w:tc>
          <w:tcPr>
            <w:tcW w:type="dxa" w:w="1704"/>
          </w:tcPr>
          <w:p>
            <w:r/>
            <w:r>
              <w:rPr>
                <w:sz w:val="17"/>
              </w:rPr>
              <w:t>&gt;= 95.0%</w:t>
            </w:r>
          </w:p>
        </w:tc>
        <w:tc>
          <w:tcPr>
            <w:tcW w:type="dxa" w:w="1704"/>
            <w:shd w:val="clear" w:color="auto" w:fill="C0392B"/>
          </w:tcPr>
          <w:p>
            <w:pPr>
              <w:jc w:val="center"/>
            </w:pPr>
            <w:r/>
            <w:r>
              <w:rPr>
                <w:b/>
                <w:color w:val="FFFFFF"/>
                <w:sz w:val="16"/>
              </w:rPr>
              <w:t>RED</w:t>
            </w:r>
          </w:p>
        </w:tc>
        <w:tc>
          <w:tcPr>
            <w:tcW w:type="dxa" w:w="1704"/>
          </w:tcPr>
          <w:p>
            <w:r/>
            <w:r>
              <w:rPr>
                <w:sz w:val="17"/>
              </w:rPr>
              <w:t>Producer</w:t>
            </w:r>
          </w:p>
        </w:tc>
      </w:tr>
      <w:tr>
        <w:tc>
          <w:tcPr>
            <w:tcW w:type="dxa" w:w="1704"/>
          </w:tcPr>
          <w:p>
            <w:r/>
            <w:r>
              <w:rPr>
                <w:sz w:val="17"/>
              </w:rPr>
              <w:t>M6.2</w:t>
            </w:r>
          </w:p>
        </w:tc>
        <w:tc>
          <w:tcPr>
            <w:tcW w:type="dxa" w:w="1704"/>
          </w:tcPr>
          <w:p>
            <w:r/>
            <w:r>
              <w:rPr>
                <w:sz w:val="17"/>
              </w:rPr>
              <w:t>New Order attribution rate</w:t>
            </w:r>
          </w:p>
        </w:tc>
        <w:tc>
          <w:tcPr>
            <w:tcW w:type="dxa" w:w="1704"/>
          </w:tcPr>
          <w:p>
            <w:r/>
            <w:r>
              <w:rPr>
                <w:sz w:val="17"/>
              </w:rPr>
              <w:t>35.25 pct</w:t>
            </w:r>
          </w:p>
        </w:tc>
        <w:tc>
          <w:tcPr>
            <w:tcW w:type="dxa" w:w="1704"/>
          </w:tcPr>
          <w:p>
            <w:r/>
            <w:r>
              <w:rPr>
                <w:sz w:val="17"/>
              </w:rPr>
              <w:t>&gt;= 95.0%</w:t>
            </w:r>
          </w:p>
        </w:tc>
        <w:tc>
          <w:tcPr>
            <w:tcW w:type="dxa" w:w="1704"/>
            <w:shd w:val="clear" w:color="auto" w:fill="C0392B"/>
          </w:tcPr>
          <w:p>
            <w:pPr>
              <w:jc w:val="center"/>
            </w:pPr>
            <w:r/>
            <w:r>
              <w:rPr>
                <w:b/>
                <w:color w:val="FFFFFF"/>
                <w:sz w:val="16"/>
              </w:rPr>
              <w:t>RED</w:t>
            </w:r>
          </w:p>
        </w:tc>
        <w:tc>
          <w:tcPr>
            <w:tcW w:type="dxa" w:w="1704"/>
          </w:tcPr>
          <w:p>
            <w:r/>
            <w:r>
              <w:rPr>
                <w:sz w:val="17"/>
              </w:rPr>
              <w:t>Producer</w:t>
            </w:r>
          </w:p>
        </w:tc>
      </w:tr>
      <w:tr>
        <w:tc>
          <w:tcPr>
            <w:tcW w:type="dxa" w:w="1704"/>
          </w:tcPr>
          <w:p>
            <w:r/>
            <w:r>
              <w:rPr>
                <w:sz w:val="17"/>
              </w:rPr>
              <w:t>M6.3</w:t>
            </w:r>
          </w:p>
        </w:tc>
        <w:tc>
          <w:tcPr>
            <w:tcW w:type="dxa" w:w="1704"/>
          </w:tcPr>
          <w:p>
            <w:r/>
            <w:r>
              <w:rPr>
                <w:sz w:val="17"/>
              </w:rPr>
              <w:t>Cancel Order attribution rate</w:t>
            </w:r>
          </w:p>
        </w:tc>
        <w:tc>
          <w:tcPr>
            <w:tcW w:type="dxa" w:w="1704"/>
          </w:tcPr>
          <w:p>
            <w:r/>
            <w:r>
              <w:rPr>
                <w:sz w:val="17"/>
              </w:rPr>
              <w:t>35.12 pct</w:t>
            </w:r>
          </w:p>
        </w:tc>
        <w:tc>
          <w:tcPr>
            <w:tcW w:type="dxa" w:w="1704"/>
          </w:tcPr>
          <w:p>
            <w:r/>
            <w:r>
              <w:rPr>
                <w:sz w:val="17"/>
              </w:rPr>
              <w:t>&gt;= 95.0%</w:t>
            </w:r>
          </w:p>
        </w:tc>
        <w:tc>
          <w:tcPr>
            <w:tcW w:type="dxa" w:w="1704"/>
            <w:shd w:val="clear" w:color="auto" w:fill="C0392B"/>
          </w:tcPr>
          <w:p>
            <w:pPr>
              <w:jc w:val="center"/>
            </w:pPr>
            <w:r/>
            <w:r>
              <w:rPr>
                <w:b/>
                <w:color w:val="FFFFFF"/>
                <w:sz w:val="16"/>
              </w:rPr>
              <w:t>RED</w:t>
            </w:r>
          </w:p>
        </w:tc>
        <w:tc>
          <w:tcPr>
            <w:tcW w:type="dxa" w:w="1704"/>
          </w:tcPr>
          <w:p>
            <w:r/>
            <w:r>
              <w:rPr>
                <w:sz w:val="17"/>
              </w:rPr>
              <w:t>Producer</w:t>
            </w:r>
          </w:p>
        </w:tc>
      </w:tr>
      <w:tr>
        <w:tc>
          <w:tcPr>
            <w:tcW w:type="dxa" w:w="1704"/>
          </w:tcPr>
          <w:p>
            <w:r/>
            <w:r>
              <w:rPr>
                <w:sz w:val="17"/>
              </w:rPr>
              <w:t>M6.4</w:t>
            </w:r>
          </w:p>
        </w:tc>
        <w:tc>
          <w:tcPr>
            <w:tcW w:type="dxa" w:w="1704"/>
          </w:tcPr>
          <w:p>
            <w:r/>
            <w:r>
              <w:rPr>
                <w:sz w:val="17"/>
              </w:rPr>
              <w:t>Replace Order attribution rate</w:t>
            </w:r>
          </w:p>
        </w:tc>
        <w:tc>
          <w:tcPr>
            <w:tcW w:type="dxa" w:w="1704"/>
          </w:tcPr>
          <w:p>
            <w:r/>
            <w:r>
              <w:rPr>
                <w:sz w:val="17"/>
              </w:rPr>
              <w:t>36.17 pct</w:t>
            </w:r>
          </w:p>
        </w:tc>
        <w:tc>
          <w:tcPr>
            <w:tcW w:type="dxa" w:w="1704"/>
          </w:tcPr>
          <w:p>
            <w:r/>
            <w:r>
              <w:rPr>
                <w:sz w:val="17"/>
              </w:rPr>
              <w:t>&gt;= 95.0%</w:t>
            </w:r>
          </w:p>
        </w:tc>
        <w:tc>
          <w:tcPr>
            <w:tcW w:type="dxa" w:w="1704"/>
            <w:shd w:val="clear" w:color="auto" w:fill="C0392B"/>
          </w:tcPr>
          <w:p>
            <w:pPr>
              <w:jc w:val="center"/>
            </w:pPr>
            <w:r/>
            <w:r>
              <w:rPr>
                <w:b/>
                <w:color w:val="FFFFFF"/>
                <w:sz w:val="16"/>
              </w:rPr>
              <w:t>RED</w:t>
            </w:r>
          </w:p>
        </w:tc>
        <w:tc>
          <w:tcPr>
            <w:tcW w:type="dxa" w:w="1704"/>
          </w:tcPr>
          <w:p>
            <w:r/>
            <w:r>
              <w:rPr>
                <w:sz w:val="17"/>
              </w:rPr>
              <w:t>Producer</w:t>
            </w:r>
          </w:p>
        </w:tc>
      </w:tr>
    </w:tbl>
    <w:p/>
    <w:p>
      <w:r>
        <w:rPr>
          <w:b/>
          <w:i w:val="0"/>
          <w:sz w:val="20"/>
        </w:rPr>
        <w:t>Per-metric definition and rationale:</w:t>
      </w:r>
    </w:p>
    <w:p>
      <w:pPr>
        <w:ind w:left="288"/>
      </w:pPr>
      <w:r>
        <w:rPr>
          <w:b/>
          <w:sz w:val="17"/>
        </w:rPr>
        <w:t xml:space="preserve">M6.1.  </w:t>
      </w:r>
      <w:r>
        <w:rPr>
          <w:i/>
          <w:sz w:val="17"/>
        </w:rPr>
        <w:t xml:space="preserve">Definition: 100 - (E1 / count(Fill) * 100). Coverage of Reg-best-execution / MAR attribution.  </w:t>
      </w:r>
      <w:r>
        <w:rPr>
          <w:sz w:val="17"/>
        </w:rPr>
        <w:t>Why: REGULATOR-EXAM CRITICAL. Currently 35.13% — the surveillance system cannot attribute 65% of fills to a human.</w:t>
      </w:r>
    </w:p>
    <w:p>
      <w:pPr>
        <w:ind w:left="288"/>
      </w:pPr>
      <w:r>
        <w:rPr>
          <w:b/>
          <w:sz w:val="17"/>
        </w:rPr>
        <w:t xml:space="preserve">M6.2.  </w:t>
      </w:r>
      <w:r>
        <w:rPr>
          <w:i/>
          <w:sz w:val="17"/>
        </w:rPr>
        <w:t xml:space="preserve">Definition: % of New Order rows with Trader populated.  </w:t>
      </w:r>
      <w:r>
        <w:rPr>
          <w:sz w:val="17"/>
        </w:rPr>
        <w:t>Why: Required for spoofing/layering attribution at the parent level.</w:t>
      </w:r>
    </w:p>
    <w:p>
      <w:pPr>
        <w:ind w:left="288"/>
      </w:pPr>
      <w:r>
        <w:rPr>
          <w:b/>
          <w:sz w:val="17"/>
        </w:rPr>
        <w:t xml:space="preserve">M6.3.  </w:t>
      </w:r>
      <w:r>
        <w:rPr>
          <w:i/>
          <w:sz w:val="17"/>
        </w:rPr>
        <w:t xml:space="preserve">Definition: % of Cancel Order rows with Trader populated.  </w:t>
      </w:r>
      <w:r>
        <w:rPr>
          <w:sz w:val="17"/>
        </w:rPr>
        <w:t>Why: Required for cancel-ratio-per-trader (F1) to be meaningful.</w:t>
      </w:r>
    </w:p>
    <w:p>
      <w:pPr>
        <w:ind w:left="288"/>
      </w:pPr>
      <w:r>
        <w:rPr>
          <w:b/>
          <w:sz w:val="17"/>
        </w:rPr>
        <w:t xml:space="preserve">M6.4.  </w:t>
      </w:r>
      <w:r>
        <w:rPr>
          <w:i/>
          <w:sz w:val="17"/>
        </w:rPr>
        <w:t xml:space="preserve">Definition: % of Replace Order rows with Trader populated.  </w:t>
      </w:r>
      <w:r>
        <w:rPr>
          <w:sz w:val="17"/>
        </w:rPr>
        <w:t>Why: Required for modify-then-spoof / quote-stuffing detection.</w:t>
      </w:r>
    </w:p>
    <w:p>
      <w:r>
        <w:br w:type="page"/>
      </w:r>
    </w:p>
    <w:p>
      <w:pPr>
        <w:pStyle w:val="Heading1"/>
      </w:pPr>
      <w:r>
        <w:rPr>
          <w:color w:val="1F3A5F"/>
        </w:rPr>
        <w:t>M7 — Surveillance rule eligibility</w:t>
      </w:r>
    </w:p>
    <w:tbl>
      <w:tblPr>
        <w:tblStyle w:val="LightGrid-Accent1"/>
        <w:tblW w:type="auto" w:w="0"/>
        <w:tblLayout w:type="fixed"/>
        <w:tblLook w:firstColumn="1" w:firstRow="1" w:lastColumn="0" w:lastRow="0" w:noHBand="0" w:noVBand="1" w:val="04A0"/>
      </w:tblPr>
      <w:tblGrid>
        <w:gridCol w:w="792"/>
        <w:gridCol w:w="3024"/>
        <w:gridCol w:w="1368"/>
        <w:gridCol w:w="2016"/>
        <w:gridCol w:w="1008"/>
        <w:gridCol w:w="1224"/>
      </w:tblGrid>
      <w:tr>
        <w:tc>
          <w:tcPr>
            <w:tcW w:type="dxa" w:w="1704"/>
            <w:shd w:val="clear" w:color="auto" w:fill="1F3A5F"/>
          </w:tcPr>
          <w:p>
            <w:r/>
            <w:r>
              <w:rPr>
                <w:b/>
                <w:color w:val="FFFFFF"/>
                <w:sz w:val="18"/>
              </w:rPr>
              <w:t>ID</w:t>
            </w:r>
          </w:p>
        </w:tc>
        <w:tc>
          <w:tcPr>
            <w:tcW w:type="dxa" w:w="1704"/>
            <w:shd w:val="clear" w:color="auto" w:fill="1F3A5F"/>
          </w:tcPr>
          <w:p>
            <w:r/>
            <w:r>
              <w:rPr>
                <w:b/>
                <w:color w:val="FFFFFF"/>
                <w:sz w:val="18"/>
              </w:rPr>
              <w:t>Metric</w:t>
            </w:r>
          </w:p>
        </w:tc>
        <w:tc>
          <w:tcPr>
            <w:tcW w:type="dxa" w:w="1704"/>
            <w:shd w:val="clear" w:color="auto" w:fill="1F3A5F"/>
          </w:tcPr>
          <w:p>
            <w:r/>
            <w:r>
              <w:rPr>
                <w:b/>
                <w:color w:val="FFFFFF"/>
                <w:sz w:val="18"/>
              </w:rPr>
              <w:t>Value</w:t>
            </w:r>
          </w:p>
        </w:tc>
        <w:tc>
          <w:tcPr>
            <w:tcW w:type="dxa" w:w="1704"/>
            <w:shd w:val="clear" w:color="auto" w:fill="1F3A5F"/>
          </w:tcPr>
          <w:p>
            <w:r/>
            <w:r>
              <w:rPr>
                <w:b/>
                <w:color w:val="FFFFFF"/>
                <w:sz w:val="18"/>
              </w:rPr>
              <w:t>Target</w:t>
            </w:r>
          </w:p>
        </w:tc>
        <w:tc>
          <w:tcPr>
            <w:tcW w:type="dxa" w:w="1704"/>
            <w:shd w:val="clear" w:color="auto" w:fill="1F3A5F"/>
          </w:tcPr>
          <w:p>
            <w:r/>
            <w:r>
              <w:rPr>
                <w:b/>
                <w:color w:val="FFFFFF"/>
                <w:sz w:val="18"/>
              </w:rPr>
              <w:t>Status</w:t>
            </w:r>
          </w:p>
        </w:tc>
        <w:tc>
          <w:tcPr>
            <w:tcW w:type="dxa" w:w="1704"/>
            <w:shd w:val="clear" w:color="auto" w:fill="1F3A5F"/>
          </w:tcPr>
          <w:p>
            <w:r/>
            <w:r>
              <w:rPr>
                <w:b/>
                <w:color w:val="FFFFFF"/>
                <w:sz w:val="18"/>
              </w:rPr>
              <w:t>Owner</w:t>
            </w:r>
          </w:p>
        </w:tc>
      </w:tr>
      <w:tr>
        <w:tc>
          <w:tcPr>
            <w:tcW w:type="dxa" w:w="1704"/>
          </w:tcPr>
          <w:p>
            <w:r/>
            <w:r>
              <w:rPr>
                <w:sz w:val="17"/>
              </w:rPr>
              <w:t>M7.1</w:t>
            </w:r>
          </w:p>
        </w:tc>
        <w:tc>
          <w:tcPr>
            <w:tcW w:type="dxa" w:w="1704"/>
          </w:tcPr>
          <w:p>
            <w:r/>
            <w:r>
              <w:rPr>
                <w:sz w:val="17"/>
              </w:rPr>
              <w:t>F2 (wash-trade) eligible-population rate</w:t>
            </w:r>
          </w:p>
        </w:tc>
        <w:tc>
          <w:tcPr>
            <w:tcW w:type="dxa" w:w="1704"/>
          </w:tcPr>
          <w:p>
            <w:r/>
            <w:r>
              <w:rPr>
                <w:sz w:val="17"/>
              </w:rPr>
              <w:t>100.0 pct</w:t>
            </w:r>
          </w:p>
        </w:tc>
        <w:tc>
          <w:tcPr>
            <w:tcW w:type="dxa" w:w="1704"/>
          </w:tcPr>
          <w:p>
            <w:r/>
            <w:r>
              <w:rPr>
                <w:sz w:val="17"/>
              </w:rPr>
              <w:t>&gt;= 95.0%</w:t>
            </w:r>
          </w:p>
        </w:tc>
        <w:tc>
          <w:tcPr>
            <w:tcW w:type="dxa" w:w="1704"/>
            <w:shd w:val="clear" w:color="auto" w:fill="27AE60"/>
          </w:tcPr>
          <w:p>
            <w:pPr>
              <w:jc w:val="center"/>
            </w:pPr>
            <w:r/>
            <w:r>
              <w:rPr>
                <w:b/>
                <w:color w:val="FFFFFF"/>
                <w:sz w:val="16"/>
              </w:rPr>
              <w:t>GREEN</w:t>
            </w:r>
          </w:p>
        </w:tc>
        <w:tc>
          <w:tcPr>
            <w:tcW w:type="dxa" w:w="1704"/>
          </w:tcPr>
          <w:p>
            <w:r/>
            <w:r>
              <w:rPr>
                <w:sz w:val="17"/>
              </w:rPr>
              <w:t>Surveillance team</w:t>
            </w:r>
          </w:p>
        </w:tc>
      </w:tr>
      <w:tr>
        <w:tc>
          <w:tcPr>
            <w:tcW w:type="dxa" w:w="1704"/>
          </w:tcPr>
          <w:p>
            <w:r/>
            <w:r>
              <w:rPr>
                <w:sz w:val="17"/>
              </w:rPr>
              <w:t>M7.2</w:t>
            </w:r>
          </w:p>
        </w:tc>
        <w:tc>
          <w:tcPr>
            <w:tcW w:type="dxa" w:w="1704"/>
          </w:tcPr>
          <w:p>
            <w:r/>
            <w:r>
              <w:rPr>
                <w:sz w:val="17"/>
              </w:rPr>
              <w:t>G1 (price outlier) eligible-population rate</w:t>
            </w:r>
          </w:p>
        </w:tc>
        <w:tc>
          <w:tcPr>
            <w:tcW w:type="dxa" w:w="1704"/>
          </w:tcPr>
          <w:p>
            <w:r/>
            <w:r>
              <w:rPr>
                <w:sz w:val="17"/>
              </w:rPr>
              <w:t>55.26 pct</w:t>
            </w:r>
          </w:p>
        </w:tc>
        <w:tc>
          <w:tcPr>
            <w:tcW w:type="dxa" w:w="1704"/>
          </w:tcPr>
          <w:p>
            <w:r/>
            <w:r>
              <w:rPr>
                <w:sz w:val="17"/>
              </w:rPr>
              <w:t>&gt;= 95.0%</w:t>
            </w:r>
          </w:p>
        </w:tc>
        <w:tc>
          <w:tcPr>
            <w:tcW w:type="dxa" w:w="1704"/>
            <w:shd w:val="clear" w:color="auto" w:fill="C0392B"/>
          </w:tcPr>
          <w:p>
            <w:pPr>
              <w:jc w:val="center"/>
            </w:pPr>
            <w:r/>
            <w:r>
              <w:rPr>
                <w:b/>
                <w:color w:val="FFFFFF"/>
                <w:sz w:val="16"/>
              </w:rPr>
              <w:t>RED</w:t>
            </w:r>
          </w:p>
        </w:tc>
        <w:tc>
          <w:tcPr>
            <w:tcW w:type="dxa" w:w="1704"/>
          </w:tcPr>
          <w:p>
            <w:r/>
            <w:r>
              <w:rPr>
                <w:sz w:val="17"/>
              </w:rPr>
              <w:t>Surveillance team</w:t>
            </w:r>
          </w:p>
        </w:tc>
      </w:tr>
      <w:tr>
        <w:tc>
          <w:tcPr>
            <w:tcW w:type="dxa" w:w="1704"/>
          </w:tcPr>
          <w:p>
            <w:r/>
            <w:r>
              <w:rPr>
                <w:sz w:val="17"/>
              </w:rPr>
              <w:t>M7.3</w:t>
            </w:r>
          </w:p>
        </w:tc>
        <w:tc>
          <w:tcPr>
            <w:tcW w:type="dxa" w:w="1704"/>
          </w:tcPr>
          <w:p>
            <w:r/>
            <w:r>
              <w:rPr>
                <w:sz w:val="17"/>
              </w:rPr>
              <w:t>B2 (over-fill) eligible-parent rate</w:t>
            </w:r>
          </w:p>
        </w:tc>
        <w:tc>
          <w:tcPr>
            <w:tcW w:type="dxa" w:w="1704"/>
          </w:tcPr>
          <w:p>
            <w:r/>
            <w:r>
              <w:rPr>
                <w:sz w:val="17"/>
              </w:rPr>
              <w:t>33.77 pct</w:t>
            </w:r>
          </w:p>
        </w:tc>
        <w:tc>
          <w:tcPr>
            <w:tcW w:type="dxa" w:w="1704"/>
          </w:tcPr>
          <w:p>
            <w:r/>
            <w:r>
              <w:rPr>
                <w:sz w:val="17"/>
              </w:rPr>
              <w:t>&gt;= 80.0%</w:t>
            </w:r>
          </w:p>
        </w:tc>
        <w:tc>
          <w:tcPr>
            <w:tcW w:type="dxa" w:w="1704"/>
            <w:shd w:val="clear" w:color="auto" w:fill="C0392B"/>
          </w:tcPr>
          <w:p>
            <w:pPr>
              <w:jc w:val="center"/>
            </w:pPr>
            <w:r/>
            <w:r>
              <w:rPr>
                <w:b/>
                <w:color w:val="FFFFFF"/>
                <w:sz w:val="16"/>
              </w:rPr>
              <w:t>RED</w:t>
            </w:r>
          </w:p>
        </w:tc>
        <w:tc>
          <w:tcPr>
            <w:tcW w:type="dxa" w:w="1704"/>
          </w:tcPr>
          <w:p>
            <w:r/>
            <w:r>
              <w:rPr>
                <w:sz w:val="17"/>
              </w:rPr>
              <w:t>Surveillance team</w:t>
            </w:r>
          </w:p>
        </w:tc>
      </w:tr>
      <w:tr>
        <w:tc>
          <w:tcPr>
            <w:tcW w:type="dxa" w:w="1704"/>
          </w:tcPr>
          <w:p>
            <w:r/>
            <w:r>
              <w:rPr>
                <w:sz w:val="17"/>
              </w:rPr>
              <w:t>M7.4</w:t>
            </w:r>
          </w:p>
        </w:tc>
        <w:tc>
          <w:tcPr>
            <w:tcW w:type="dxa" w:w="1704"/>
          </w:tcPr>
          <w:p>
            <w:r/>
            <w:r>
              <w:rPr>
                <w:sz w:val="17"/>
              </w:rPr>
              <w:t>F1 (cancel ratio) eligible-trader population</w:t>
            </w:r>
          </w:p>
        </w:tc>
        <w:tc>
          <w:tcPr>
            <w:tcW w:type="dxa" w:w="1704"/>
          </w:tcPr>
          <w:p>
            <w:r/>
            <w:r>
              <w:rPr>
                <w:sz w:val="17"/>
              </w:rPr>
              <w:t>10 traders (top-10 reported)</w:t>
            </w:r>
          </w:p>
        </w:tc>
        <w:tc>
          <w:tcPr>
            <w:tcW w:type="dxa" w:w="1704"/>
          </w:tcPr>
          <w:p>
            <w:r/>
            <w:r>
              <w:rPr>
                <w:sz w:val="17"/>
              </w:rPr>
              <w:t>All active traders eligible</w:t>
            </w:r>
          </w:p>
        </w:tc>
        <w:tc>
          <w:tcPr>
            <w:tcW w:type="dxa" w:w="1704"/>
            <w:shd w:val="clear" w:color="auto" w:fill="E67E22"/>
          </w:tcPr>
          <w:p>
            <w:pPr>
              <w:jc w:val="center"/>
            </w:pPr>
            <w:r/>
            <w:r>
              <w:rPr>
                <w:b/>
                <w:color w:val="FFFFFF"/>
                <w:sz w:val="16"/>
              </w:rPr>
              <w:t>AMBER</w:t>
            </w:r>
          </w:p>
        </w:tc>
        <w:tc>
          <w:tcPr>
            <w:tcW w:type="dxa" w:w="1704"/>
          </w:tcPr>
          <w:p>
            <w:r/>
            <w:r>
              <w:rPr>
                <w:sz w:val="17"/>
              </w:rPr>
              <w:t>Surveillance team</w:t>
            </w:r>
          </w:p>
        </w:tc>
      </w:tr>
    </w:tbl>
    <w:p/>
    <w:p>
      <w:r>
        <w:rPr>
          <w:b/>
          <w:i w:val="0"/>
          <w:sz w:val="20"/>
        </w:rPr>
        <w:t>Per-metric definition and rationale:</w:t>
      </w:r>
    </w:p>
    <w:p>
      <w:pPr>
        <w:ind w:left="288"/>
      </w:pPr>
      <w:r>
        <w:rPr>
          <w:b/>
          <w:sz w:val="17"/>
        </w:rPr>
        <w:t xml:space="preserve">M7.1.  </w:t>
      </w:r>
      <w:r>
        <w:rPr>
          <w:i/>
          <w:sz w:val="17"/>
        </w:rPr>
        <w:t xml:space="preserve">Definition: Fills with non-null Account + Instrument + parseable timestamp / total Fills * 100.  </w:t>
      </w:r>
      <w:r>
        <w:rPr>
          <w:sz w:val="17"/>
        </w:rPr>
        <w:t>Why: Currently 60,299 of 60,299 fills are eligible. The wash-trade rule cannot fire on the rest.</w:t>
      </w:r>
    </w:p>
    <w:p>
      <w:pPr>
        <w:ind w:left="288"/>
      </w:pPr>
      <w:r>
        <w:rPr>
          <w:b/>
          <w:sz w:val="17"/>
        </w:rPr>
        <w:t xml:space="preserve">M7.2.  </w:t>
      </w:r>
      <w:r>
        <w:rPr>
          <w:i/>
          <w:sz w:val="17"/>
        </w:rPr>
        <w:t xml:space="preserve">Definition: Rows with Price &gt; 0 + non-null Instrument / total rows * 100.  </w:t>
      </w:r>
      <w:r>
        <w:rPr>
          <w:sz w:val="17"/>
        </w:rPr>
        <w:t>Why: Per-instrument outlier detection has high coverage, but the per-instrument distribution is unreliable until M5.1 (Instrument-&gt;ISIN drift) is resolved.</w:t>
      </w:r>
    </w:p>
    <w:p>
      <w:pPr>
        <w:ind w:left="288"/>
      </w:pPr>
      <w:r>
        <w:rPr>
          <w:b/>
          <w:sz w:val="17"/>
        </w:rPr>
        <w:t xml:space="preserve">M7.3.  </w:t>
      </w:r>
      <w:r>
        <w:rPr>
          <w:i/>
          <w:sz w:val="17"/>
        </w:rPr>
        <w:t xml:space="preserve">Definition: Parents with TotalVolume + at least one fill with parseable volume / parents with TotalVolume * 100.  </w:t>
      </w:r>
      <w:r>
        <w:rPr>
          <w:sz w:val="17"/>
        </w:rPr>
        <w:t>Why: Parents without fills are ineligible by definition — this metric only counts the rule-relevant denominator.</w:t>
      </w:r>
    </w:p>
    <w:p>
      <w:pPr>
        <w:ind w:left="288"/>
      </w:pPr>
      <w:r>
        <w:rPr>
          <w:b/>
          <w:sz w:val="17"/>
        </w:rPr>
        <w:t xml:space="preserve">M7.4.  </w:t>
      </w:r>
      <w:r>
        <w:rPr>
          <w:i/>
          <w:sz w:val="17"/>
        </w:rPr>
        <w:t xml:space="preserve">Definition: Distinct Traders with at least one New Order AND at least one Cancel Order.  </w:t>
      </w:r>
      <w:r>
        <w:rPr>
          <w:sz w:val="17"/>
        </w:rPr>
        <w:t>Why: F1 is only useful with a tuned threshold AND high Trader coverage (see M6). On this dataset top ratios are 0.68-0.72 — no spoofing pattern seeded.</w:t>
      </w:r>
    </w:p>
    <w:p>
      <w:r>
        <w:br w:type="page"/>
      </w:r>
    </w:p>
    <w:p>
      <w:pPr>
        <w:pStyle w:val="Heading1"/>
      </w:pPr>
      <w:r>
        <w:rPr>
          <w:color w:val="1F3A5F"/>
        </w:rPr>
        <w:t>How to re-derive every number in this scorecard</w:t>
      </w:r>
    </w:p>
    <w:p>
      <w:r>
        <w:rPr>
          <w:b w:val="0"/>
          <w:i w:val="0"/>
          <w:sz w:val="20"/>
        </w:rPr>
        <w:t>Run from case-study/analysis/ in this order. Every metric is sourced from the JSON outputs of these scripts; no number in the scorecard is hand-typed.</w:t>
      </w:r>
    </w:p>
    <w:tbl>
      <w:tblPr>
        <w:tblStyle w:val="LightGrid-Accent1"/>
        <w:tblW w:type="auto" w:w="0"/>
        <w:tblLayout w:type="fixed"/>
        <w:tblLook w:firstColumn="1" w:firstRow="1" w:lastColumn="0" w:lastRow="0" w:noHBand="0" w:noVBand="1" w:val="04A0"/>
      </w:tblPr>
      <w:tblGrid>
        <w:gridCol w:w="3600"/>
        <w:gridCol w:w="6048"/>
      </w:tblGrid>
      <w:tr>
        <w:tc>
          <w:tcPr>
            <w:tcW w:type="dxa" w:w="5112"/>
          </w:tcPr>
          <w:p>
            <w:r/>
            <w:r>
              <w:rPr>
                <w:rFonts w:ascii="Consolas" w:hAnsi="Consolas"/>
                <w:sz w:val="18"/>
              </w:rPr>
              <w:t>04_line_count_audit.py</w:t>
            </w:r>
          </w:p>
        </w:tc>
        <w:tc>
          <w:tcPr>
            <w:tcW w:type="dxa" w:w="5112"/>
          </w:tcPr>
          <w:p>
            <w:r/>
            <w:r>
              <w:rPr>
                <w:sz w:val="18"/>
              </w:rPr>
              <w:t>Bare-CR vs CRLF counts (M1.5, M1.6)</w:t>
            </w:r>
          </w:p>
        </w:tc>
      </w:tr>
      <w:tr>
        <w:tc>
          <w:tcPr>
            <w:tcW w:type="dxa" w:w="5112"/>
          </w:tcPr>
          <w:p>
            <w:r/>
            <w:r>
              <w:rPr>
                <w:rFonts w:ascii="Consolas" w:hAnsi="Consolas"/>
                <w:sz w:val="18"/>
              </w:rPr>
              <w:t>05_repair_structural.py</w:t>
            </w:r>
          </w:p>
        </w:tc>
        <w:tc>
          <w:tcPr>
            <w:tcW w:type="dxa" w:w="5112"/>
          </w:tcPr>
          <w:p>
            <w:r/>
            <w:r>
              <w:rPr>
                <w:sz w:val="18"/>
              </w:rPr>
              <w:t>P1 structural repair -&gt; cleaned_stage_p1.tsv</w:t>
            </w:r>
          </w:p>
        </w:tc>
      </w:tr>
      <w:tr>
        <w:tc>
          <w:tcPr>
            <w:tcW w:type="dxa" w:w="5112"/>
          </w:tcPr>
          <w:p>
            <w:r/>
            <w:r>
              <w:rPr>
                <w:rFonts w:ascii="Consolas" w:hAnsi="Consolas"/>
                <w:sz w:val="18"/>
              </w:rPr>
              <w:t>06_normalize_values.py</w:t>
            </w:r>
          </w:p>
        </w:tc>
        <w:tc>
          <w:tcPr>
            <w:tcW w:type="dxa" w:w="5112"/>
          </w:tcPr>
          <w:p>
            <w:r/>
            <w:r>
              <w:rPr>
                <w:sz w:val="18"/>
              </w:rPr>
              <w:t>P1 value normalisation -&gt; cleaned_p1_final.tsv + 06_normalize_stats.json</w:t>
            </w:r>
          </w:p>
        </w:tc>
      </w:tr>
      <w:tr>
        <w:tc>
          <w:tcPr>
            <w:tcW w:type="dxa" w:w="5112"/>
          </w:tcPr>
          <w:p>
            <w:r/>
            <w:r>
              <w:rPr>
                <w:rFonts w:ascii="Consolas" w:hAnsi="Consolas"/>
                <w:sz w:val="18"/>
              </w:rPr>
              <w:t>07_post_p1_profile.py</w:t>
            </w:r>
          </w:p>
        </w:tc>
        <w:tc>
          <w:tcPr>
            <w:tcW w:type="dxa" w:w="5112"/>
          </w:tcPr>
          <w:p>
            <w:r/>
            <w:r>
              <w:rPr>
                <w:sz w:val="18"/>
              </w:rPr>
              <w:t>Per-column profile -&gt; 07_post_p1_profile.json (drives M2.* nulls)</w:t>
            </w:r>
          </w:p>
        </w:tc>
      </w:tr>
      <w:tr>
        <w:tc>
          <w:tcPr>
            <w:tcW w:type="dxa" w:w="5112"/>
          </w:tcPr>
          <w:p>
            <w:r/>
            <w:r>
              <w:rPr>
                <w:rFonts w:ascii="Consolas" w:hAnsi="Consolas"/>
                <w:sz w:val="18"/>
              </w:rPr>
              <w:t>09_p2_accuracy_efficacy.py</w:t>
            </w:r>
          </w:p>
        </w:tc>
        <w:tc>
          <w:tcPr>
            <w:tcW w:type="dxa" w:w="5112"/>
          </w:tcPr>
          <w:p>
            <w:r/>
            <w:r>
              <w:rPr>
                <w:sz w:val="18"/>
              </w:rPr>
              <w:t>P2 surveillance findings -&gt; 09_p2_findings.json (drives M3.*, M4.*, M5.*, M6.*)</w:t>
            </w:r>
          </w:p>
        </w:tc>
      </w:tr>
      <w:tr>
        <w:tc>
          <w:tcPr>
            <w:tcW w:type="dxa" w:w="5112"/>
          </w:tcPr>
          <w:p>
            <w:r/>
            <w:r>
              <w:rPr>
                <w:rFonts w:ascii="Consolas" w:hAnsi="Consolas"/>
                <w:sz w:val="18"/>
              </w:rPr>
              <w:t>12_test_cleaned_p1.py</w:t>
            </w:r>
          </w:p>
        </w:tc>
        <w:tc>
          <w:tcPr>
            <w:tcW w:type="dxa" w:w="5112"/>
          </w:tcPr>
          <w:p>
            <w:r/>
            <w:r>
              <w:rPr>
                <w:sz w:val="18"/>
              </w:rPr>
              <w:t>Verifies P1 invariants hold on cleaned_p1_final.tsv (42 tests)</w:t>
            </w:r>
          </w:p>
        </w:tc>
      </w:tr>
      <w:tr>
        <w:tc>
          <w:tcPr>
            <w:tcW w:type="dxa" w:w="5112"/>
          </w:tcPr>
          <w:p>
            <w:r/>
            <w:r>
              <w:rPr>
                <w:rFonts w:ascii="Consolas" w:hAnsi="Consolas"/>
                <w:sz w:val="18"/>
              </w:rPr>
              <w:t>13_test_p2_findings.py</w:t>
            </w:r>
          </w:p>
        </w:tc>
        <w:tc>
          <w:tcPr>
            <w:tcW w:type="dxa" w:w="5112"/>
          </w:tcPr>
          <w:p>
            <w:r/>
            <w:r>
              <w:rPr>
                <w:sz w:val="18"/>
              </w:rPr>
              <w:t>Verifies every P2 finding count reproduces (21 tests)</w:t>
            </w:r>
          </w:p>
        </w:tc>
      </w:tr>
      <w:tr>
        <w:tc>
          <w:tcPr>
            <w:tcW w:type="dxa" w:w="5112"/>
          </w:tcPr>
          <w:p>
            <w:r/>
            <w:r>
              <w:rPr>
                <w:rFonts w:ascii="Consolas" w:hAnsi="Consolas"/>
                <w:sz w:val="18"/>
              </w:rPr>
              <w:t>14_p3_metrics.py</w:t>
            </w:r>
          </w:p>
        </w:tc>
        <w:tc>
          <w:tcPr>
            <w:tcW w:type="dxa" w:w="5112"/>
          </w:tcPr>
          <w:p>
            <w:r/>
            <w:r>
              <w:rPr>
                <w:sz w:val="18"/>
              </w:rPr>
              <w:t>Computes this scorecard -&gt; 14_p3_metrics.json</w:t>
            </w:r>
          </w:p>
        </w:tc>
      </w:tr>
      <w:tr>
        <w:tc>
          <w:tcPr>
            <w:tcW w:type="dxa" w:w="5112"/>
          </w:tcPr>
          <w:p>
            <w:r/>
            <w:r>
              <w:rPr>
                <w:rFonts w:ascii="Consolas" w:hAnsi="Consolas"/>
                <w:sz w:val="18"/>
              </w:rPr>
              <w:t>15_generate_p3_doc.py</w:t>
            </w:r>
          </w:p>
        </w:tc>
        <w:tc>
          <w:tcPr>
            <w:tcW w:type="dxa" w:w="5112"/>
          </w:tcPr>
          <w:p>
            <w:r/>
            <w:r>
              <w:rPr>
                <w:sz w:val="18"/>
              </w:rPr>
              <w:t>Renders this document</w:t>
            </w:r>
          </w:p>
        </w:tc>
      </w:tr>
    </w:tbl>
    <w:p>
      <w:r>
        <w:rPr>
          <w:b w:val="0"/>
          <w:i/>
          <w:sz w:val="18"/>
        </w:rPr>
        <w:br/>
        <w:t>Pinned versions: Python 3.14.0 - pandas 3.0.2 - numpy 2.4.4 - python-docx 1.2.0</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