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2E6E71"/>
          <w:sz w:val="18"/>
        </w:rPr>
        <w:t>DATA QUALITY REVIEW  ·  SILVER &amp; GOLD LAYERS</w:t>
      </w:r>
    </w:p>
    <w:p>
      <w:pPr>
        <w:pStyle w:val="Title"/>
      </w:pPr>
      <w:r>
        <w:rPr>
          <w:color w:val="14181B"/>
        </w:rPr>
        <w:t>The story behind the DQC pivot</w:t>
      </w:r>
    </w:p>
    <w:p>
      <w:pPr>
        <w:spacing w:after="400"/>
      </w:pPr>
      <w:r>
        <w:rPr>
          <w:color w:val="4B565B"/>
          <w:sz w:val="22"/>
        </w:rPr>
        <w:t>A read of SSDR DQC Validity Checks.csv — 22 business dates, 2026-06-10 to 2026-07-19. Use this alongside SSDR DQC Pivots.xlsx: the KPIs below tell you where to look, the chapters tell you what to say about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F1F3F2"/>
          </w:tcPr>
          <w:p>
            <w:pPr>
              <w:spacing w:after="40"/>
            </w:pPr>
            <w:r>
              <w:rPr>
                <w:b/>
                <w:color w:val="14181B"/>
                <w:sz w:val="28"/>
              </w:rPr>
              <w:t>29,323</w:t>
            </w:r>
          </w:p>
          <w:p>
            <w:r>
              <w:rPr>
                <w:color w:val="4B565B"/>
                <w:sz w:val="16"/>
              </w:rPr>
              <w:t>check-runs logged</w:t>
            </w:r>
          </w:p>
        </w:tc>
        <w:tc>
          <w:tcPr>
            <w:tcW w:type="dxa" w:w="2268"/>
            <w:shd w:val="clear" w:fill="F1F3F2"/>
          </w:tcPr>
          <w:p>
            <w:pPr>
              <w:spacing w:after="40"/>
            </w:pPr>
            <w:r>
              <w:rPr>
                <w:b/>
                <w:color w:val="14181B"/>
                <w:sz w:val="28"/>
              </w:rPr>
              <w:t>3,500</w:t>
            </w:r>
          </w:p>
          <w:p>
            <w:r>
              <w:rPr>
                <w:color w:val="4B565B"/>
                <w:sz w:val="16"/>
              </w:rPr>
              <w:t>field/rule combos tracked</w:t>
            </w:r>
          </w:p>
        </w:tc>
        <w:tc>
          <w:tcPr>
            <w:tcW w:type="dxa" w:w="2268"/>
            <w:shd w:val="clear" w:fill="F1F3F2"/>
          </w:tcPr>
          <w:p>
            <w:pPr>
              <w:spacing w:after="40"/>
            </w:pPr>
            <w:r>
              <w:rPr>
                <w:b/>
                <w:color w:val="B02A2A"/>
                <w:sz w:val="28"/>
              </w:rPr>
              <w:t>445</w:t>
            </w:r>
          </w:p>
          <w:p>
            <w:r>
              <w:rPr>
                <w:color w:val="4B565B"/>
                <w:sz w:val="16"/>
              </w:rPr>
              <w:t>chronic Red — real fields</w:t>
            </w:r>
          </w:p>
        </w:tc>
        <w:tc>
          <w:tcPr>
            <w:tcW w:type="dxa" w:w="2268"/>
            <w:shd w:val="clear" w:fill="F1F3F2"/>
          </w:tcPr>
          <w:p>
            <w:pPr>
              <w:spacing w:after="40"/>
            </w:pPr>
            <w:r>
              <w:rPr>
                <w:b/>
                <w:color w:val="8A5A00"/>
                <w:sz w:val="28"/>
              </w:rPr>
              <w:t>57</w:t>
            </w:r>
          </w:p>
          <w:p>
            <w:r>
              <w:rPr>
                <w:color w:val="4B565B"/>
                <w:sz w:val="16"/>
              </w:rPr>
              <w:t>chronic Red — rule ghosts</w:t>
            </w:r>
          </w:p>
        </w:tc>
      </w:tr>
      <w:tr>
        <w:tc>
          <w:tcPr>
            <w:tcW w:type="dxa" w:w="2268"/>
            <w:shd w:val="clear" w:fill="F1F3F2"/>
          </w:tcPr>
          <w:p>
            <w:pPr>
              <w:spacing w:after="40"/>
            </w:pPr>
            <w:r>
              <w:rPr>
                <w:b/>
                <w:color w:val="B0512E"/>
                <w:sz w:val="28"/>
              </w:rPr>
              <w:t>35</w:t>
            </w:r>
          </w:p>
          <w:p>
            <w:r>
              <w:rPr>
                <w:color w:val="4B565B"/>
                <w:sz w:val="16"/>
              </w:rPr>
              <w:t>regressions (cliff breaks)</w:t>
            </w:r>
          </w:p>
        </w:tc>
        <w:tc>
          <w:tcPr>
            <w:tcW w:type="dxa" w:w="2268"/>
            <w:shd w:val="clear" w:fill="F1F3F2"/>
          </w:tcPr>
          <w:p>
            <w:pPr>
              <w:spacing w:after="40"/>
            </w:pPr>
            <w:r>
              <w:rPr>
                <w:b/>
                <w:color w:val="0C7A0C"/>
                <w:sz w:val="28"/>
              </w:rPr>
              <w:t>43</w:t>
            </w:r>
          </w:p>
          <w:p>
            <w:r>
              <w:rPr>
                <w:color w:val="4B565B"/>
                <w:sz w:val="16"/>
              </w:rPr>
              <w:t>improvements confirmed</w:t>
            </w:r>
          </w:p>
        </w:tc>
        <w:tc>
          <w:tcPr>
            <w:tcW w:type="dxa" w:w="2268"/>
            <w:shd w:val="clear" w:fill="F1F3F2"/>
          </w:tcPr>
          <w:p>
            <w:pPr>
              <w:spacing w:after="40"/>
            </w:pPr>
            <w:r>
              <w:rPr>
                <w:b/>
                <w:color w:val="14181B"/>
                <w:sz w:val="28"/>
              </w:rPr>
              <w:t>46% / 14% / 40%</w:t>
            </w:r>
          </w:p>
          <w:p>
            <w:r>
              <w:rPr>
                <w:color w:val="4B565B"/>
                <w:sz w:val="16"/>
              </w:rPr>
              <w:t>pass / partial / fail mix</w:t>
            </w:r>
          </w:p>
        </w:tc>
        <w:tc>
          <w:tcPr>
            <w:tcW w:type="dxa" w:w="2268"/>
            <w:shd w:val="clear" w:fill="F1F3F2"/>
          </w:tcPr>
          <w:p>
            <w:pPr>
              <w:spacing w:after="40"/>
            </w:pPr>
            <w:r>
              <w:rPr>
                <w:b/>
                <w:color w:val="B0512E"/>
                <w:sz w:val="28"/>
              </w:rPr>
              <w:t>2026-06-24</w:t>
            </w:r>
          </w:p>
          <w:p>
            <w:r>
              <w:rPr>
                <w:color w:val="4B565B"/>
                <w:sz w:val="16"/>
              </w:rPr>
              <w:t>date of the regression cliff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i w:val="0"/>
          <w:color w:val="8A9296"/>
          <w:sz w:val="18"/>
        </w:rPr>
        <w:t>01   THE SHAPE OF THE DATA</w:t>
      </w:r>
    </w:p>
    <w:p>
      <w:pPr>
        <w:pStyle w:val="Heading2"/>
      </w:pPr>
      <w:r>
        <w:t>Checks don't degrade here — they switch off</w:t>
      </w:r>
    </w:p>
    <w:p>
      <w:r>
        <w:t xml:space="preserve">Across all 29,323 check-runs, score_pct is almost perfectly bimodal: </w:t>
      </w:r>
      <w:r>
        <w:rPr>
          <w:b/>
        </w:rPr>
        <w:t>13,548</w:t>
      </w:r>
      <w:r>
        <w:t xml:space="preserve"> runs pass 100%, </w:t>
      </w:r>
      <w:r>
        <w:rPr>
          <w:b/>
        </w:rPr>
        <w:t>11,697</w:t>
      </w:r>
      <w:r>
        <w:t xml:space="preserve"> fail 100%, and only </w:t>
      </w:r>
      <w:r>
        <w:rPr>
          <w:b/>
        </w:rPr>
        <w:t>4,078</w:t>
      </w:r>
      <w:r>
        <w:t xml:space="preserve"> land anywhere in between.</w:t>
      </w:r>
    </w:p>
    <w:p>
      <w:r>
        <w:t>That matters for how you read every other number in this file: a Red status here rarely means “a few bad rows slipped through.” It usually means a field, rule, or feed is either fully wired up or was never wired up at all. Treat every Red as a binary integration question, not a data-cleansing one.</w:t>
      </w:r>
    </w:p>
    <w:p>
      <w:r>
        <w:t xml:space="preserve">One more thing worth naming out loud: the file has a 16-day reporting gap, </w:t>
      </w:r>
      <w:r>
        <w:rPr>
          <w:rFonts w:ascii="Consolas" w:hAnsi="Consolas"/>
          <w:sz w:val="20"/>
        </w:rPr>
        <w:t>2026-06-26</w:t>
      </w:r>
      <w:r>
        <w:t xml:space="preserve"> → </w:t>
      </w:r>
      <w:r>
        <w:rPr>
          <w:rFonts w:ascii="Consolas" w:hAnsi="Consolas"/>
          <w:sz w:val="20"/>
        </w:rPr>
        <w:t>2026-07-12</w:t>
      </w:r>
      <w:r>
        <w:t>. Nothing in the data explains whether checks paused or just weren't exported.</w:t>
      </w:r>
    </w:p>
    <w:p>
      <w:pPr>
        <w:spacing w:before="120" w:after="280"/>
        <w:ind w:left="227"/>
        <w:pBdr>
          <w:left w:val="single" w:sz="18" w:color="2E6E71" w:space="6"/>
        </w:pBdr>
        <w:shd w:val="clear" w:fill="F1F3F2"/>
      </w:pPr>
      <w:r>
        <w:rPr>
          <w:b/>
          <w:color w:val="2E6E71"/>
          <w:sz w:val="18"/>
        </w:rPr>
        <w:t xml:space="preserve">ASK IN THE REVIEW  </w:t>
      </w:r>
      <w:r>
        <w:br/>
      </w:r>
      <w:r>
        <w:rPr>
          <w:i/>
          <w:color w:val="4B565B"/>
          <w:sz w:val="21"/>
        </w:rPr>
        <w:t>Is the 06-26 → 07-12 gap a known pause, or missing exports we should backfill?</w:t>
      </w:r>
    </w:p>
    <w:p>
      <w:pPr>
        <w:spacing w:after="40"/>
      </w:pPr>
      <w:r>
        <w:rPr>
          <w:b/>
          <w:i w:val="0"/>
          <w:color w:val="8A9296"/>
          <w:sz w:val="18"/>
        </w:rPr>
        <w:t>02   THE RULE-CONFIG GHOSTS</w:t>
      </w:r>
    </w:p>
    <w:p>
      <w:pPr>
        <w:pStyle w:val="Heading2"/>
      </w:pPr>
      <w:r>
        <w:t>57 “failures” that aren't telling you anything</w:t>
      </w:r>
    </w:p>
    <w:p>
      <w:r>
        <w:t xml:space="preserve">A subset of chronic Red rows have no </w:t>
      </w:r>
      <w:r>
        <w:rPr>
          <w:rFonts w:ascii="Consolas" w:hAnsi="Consolas"/>
          <w:sz w:val="20"/>
        </w:rPr>
        <w:t>field_name</w:t>
      </w:r>
      <w:r>
        <w:t xml:space="preserve"> and no </w:t>
      </w:r>
      <w:r>
        <w:rPr>
          <w:rFonts w:ascii="Consolas" w:hAnsi="Consolas"/>
          <w:sz w:val="20"/>
        </w:rPr>
        <w:t>violation_description</w:t>
      </w:r>
      <w:r>
        <w:t xml:space="preserve"> — the source data itself is blank there, every single time they run, always at 0%.</w:t>
      </w:r>
    </w:p>
    <w:p>
      <w:r>
        <w:t xml:space="preserve">This isn't a data-quality problem on a source feed, it's a rule-config problem: </w:t>
      </w:r>
      <w:r>
        <w:rPr>
          <w:rFonts w:ascii="Consolas" w:hAnsi="Consolas"/>
          <w:sz w:val="20"/>
        </w:rPr>
        <w:t>BrokerTec</w:t>
      </w:r>
      <w:r>
        <w:t xml:space="preserve">, </w:t>
      </w:r>
      <w:r>
        <w:rPr>
          <w:rFonts w:ascii="Consolas" w:hAnsi="Consolas"/>
          <w:sz w:val="20"/>
        </w:rPr>
        <w:t>Fenics</w:t>
      </w:r>
      <w:r>
        <w:t xml:space="preserve"> and </w:t>
      </w:r>
      <w:r>
        <w:rPr>
          <w:rFonts w:ascii="Consolas" w:hAnsi="Consolas"/>
          <w:sz w:val="20"/>
        </w:rPr>
        <w:t>ICAP_TSA</w:t>
      </w:r>
      <w:r>
        <w:t xml:space="preserve"> have run this way for all 15 dates each has appeared; </w:t>
      </w:r>
      <w:r>
        <w:rPr>
          <w:rFonts w:ascii="Consolas" w:hAnsi="Consolas"/>
          <w:sz w:val="20"/>
        </w:rPr>
        <w:t>EBS</w:t>
      </w:r>
      <w:r>
        <w:t xml:space="preserve"> and </w:t>
      </w:r>
      <w:r>
        <w:rPr>
          <w:rFonts w:ascii="Consolas" w:hAnsi="Consolas"/>
          <w:sz w:val="20"/>
        </w:rPr>
        <w:t>Limpid</w:t>
      </w:r>
      <w:r>
        <w:t xml:space="preserve"> for 13. All of them sit under </w:t>
      </w:r>
      <w:r>
        <w:rPr>
          <w:rFonts w:ascii="Consolas" w:hAnsi="Consolas"/>
          <w:sz w:val="20"/>
        </w:rPr>
        <w:t>asset_type=DEFAULT</w:t>
      </w:r>
      <w:r>
        <w:t xml:space="preserve">, rule </w:t>
      </w:r>
      <w:r>
        <w:rPr>
          <w:rFonts w:ascii="Consolas" w:hAnsi="Consolas"/>
          <w:sz w:val="20"/>
        </w:rPr>
        <w:t>FIELD_EXPRESSION</w:t>
      </w:r>
      <w:r>
        <w:t>. Something in how that rule is defined for these sources never got finished.</w:t>
      </w:r>
    </w:p>
    <w:p>
      <w:pPr>
        <w:spacing w:before="120" w:after="280"/>
        <w:ind w:left="227"/>
        <w:pBdr>
          <w:left w:val="single" w:sz="18" w:color="2E6E71" w:space="6"/>
        </w:pBdr>
        <w:shd w:val="clear" w:fill="F1F3F2"/>
      </w:pPr>
      <w:r>
        <w:rPr>
          <w:b/>
          <w:color w:val="2E6E71"/>
          <w:sz w:val="18"/>
        </w:rPr>
        <w:t xml:space="preserve">ASK IN THE REVIEW  </w:t>
      </w:r>
      <w:r>
        <w:br/>
      </w:r>
      <w:r>
        <w:rPr>
          <w:i/>
          <w:color w:val="4B565B"/>
          <w:sz w:val="21"/>
        </w:rPr>
        <w:t>Who owns FIELD_EXPRESSION rule config for BrokerTec / Fenics / ICAP_TSA / EBS / Limpid? These 57 rows inflate the Red count without pointing at an actual field.</w:t>
      </w:r>
    </w:p>
    <w:p>
      <w:pPr>
        <w:spacing w:after="40"/>
      </w:pPr>
      <w:r>
        <w:rPr>
          <w:b/>
          <w:i w:val="0"/>
          <w:color w:val="8A9296"/>
          <w:sz w:val="18"/>
        </w:rPr>
        <w:t>03   THE STANDING BACKLOG</w:t>
      </w:r>
    </w:p>
    <w:p>
      <w:pPr>
        <w:pStyle w:val="Heading2"/>
      </w:pPr>
      <w:r>
        <w:t>445 fields that have never once passed</w:t>
      </w:r>
    </w:p>
    <w:p>
      <w:r>
        <w:t xml:space="preserve">Strip out the ghosts and you're left with </w:t>
      </w:r>
      <w:r>
        <w:rPr>
          <w:b/>
        </w:rPr>
        <w:t>445</w:t>
      </w:r>
      <w:r>
        <w:t xml:space="preserve"> real field/rule combos that are Red on every date they've been checked (minimum 3 dates seen). This is the actual data-quality backlog.</w:t>
      </w:r>
    </w:p>
    <w:p>
      <w:pPr>
        <w:spacing w:after="80"/>
      </w:pPr>
      <w:r>
        <w:rPr>
          <w:b w:val="0"/>
          <w:i/>
          <w:color w:val="4B565B"/>
          <w:sz w:val="18"/>
        </w:rPr>
        <w:t>Chronic field failures by asset class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Fixed Inc.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184F95"/>
                <w:sz w:val="18"/>
              </w:rPr>
              <w:t>████████████████████████████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245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Int. Rate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█████████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78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FX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45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Default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36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Commod.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30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Equity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11</w:t>
            </w:r>
          </w:p>
        </w:tc>
      </w:tr>
    </w:tbl>
    <w:p>
      <w:pPr>
        <w:spacing w:after="40"/>
      </w:pPr>
    </w:p>
    <w:p>
      <w:r>
        <w:t xml:space="preserve">84% of these (373 of 445) are </w:t>
      </w:r>
      <w:r>
        <w:rPr>
          <w:rFonts w:ascii="Consolas" w:hAnsi="Consolas"/>
          <w:sz w:val="20"/>
        </w:rPr>
        <w:t>NOT_NULL</w:t>
      </w:r>
      <w:r>
        <w:t xml:space="preserve"> failures — a field that's supposed to be populated and simply isn't. That's heavily concentrated by source: </w:t>
      </w:r>
      <w:r>
        <w:rPr>
          <w:rFonts w:ascii="Consolas" w:hAnsi="Consolas"/>
          <w:sz w:val="20"/>
        </w:rPr>
        <w:t>BrokerTec</w:t>
      </w:r>
      <w:r>
        <w:t xml:space="preserve"> (58), </w:t>
      </w:r>
      <w:r>
        <w:rPr>
          <w:rFonts w:ascii="Consolas" w:hAnsi="Consolas"/>
          <w:sz w:val="20"/>
        </w:rPr>
        <w:t>IonCme</w:t>
      </w:r>
      <w:r>
        <w:t xml:space="preserve"> (55), </w:t>
      </w:r>
      <w:r>
        <w:rPr>
          <w:rFonts w:ascii="Consolas" w:hAnsi="Consolas"/>
          <w:sz w:val="20"/>
        </w:rPr>
        <w:t>KDB</w:t>
      </w:r>
      <w:r>
        <w:t xml:space="preserve"> (43), </w:t>
      </w:r>
      <w:r>
        <w:rPr>
          <w:rFonts w:ascii="Consolas" w:hAnsi="Consolas"/>
          <w:sz w:val="20"/>
        </w:rPr>
        <w:t>TPICAP</w:t>
      </w:r>
      <w:r>
        <w:t xml:space="preserve"> (43), </w:t>
      </w:r>
      <w:r>
        <w:rPr>
          <w:rFonts w:ascii="Consolas" w:hAnsi="Consolas"/>
          <w:sz w:val="20"/>
        </w:rPr>
        <w:t>OpenYield</w:t>
      </w:r>
      <w:r>
        <w:t xml:space="preserve"> (39), </w:t>
      </w:r>
      <w:r>
        <w:rPr>
          <w:rFonts w:ascii="Consolas" w:hAnsi="Consolas"/>
          <w:sz w:val="20"/>
        </w:rPr>
        <w:t>EBS</w:t>
      </w:r>
      <w:r>
        <w:t xml:space="preserve"> (37), </w:t>
      </w:r>
      <w:r>
        <w:rPr>
          <w:rFonts w:ascii="Consolas" w:hAnsi="Consolas"/>
          <w:sz w:val="20"/>
        </w:rPr>
        <w:t>UBSbondPort</w:t>
      </w:r>
      <w:r>
        <w:t xml:space="preserve"> (36), </w:t>
      </w:r>
      <w:r>
        <w:rPr>
          <w:rFonts w:ascii="Consolas" w:hAnsi="Consolas"/>
          <w:sz w:val="20"/>
        </w:rPr>
        <w:t>MUREX_GPM</w:t>
      </w:r>
      <w:r>
        <w:t xml:space="preserve"> (30).</w:t>
      </w:r>
    </w:p>
    <w:p>
      <w:r>
        <w:t xml:space="preserve">The Commodities slice is entirely one source: all 30 chronic Commodities failures are </w:t>
      </w:r>
      <w:r>
        <w:rPr>
          <w:rFonts w:ascii="Consolas" w:hAnsi="Consolas"/>
          <w:sz w:val="20"/>
        </w:rPr>
        <w:t>MUREX_GPM</w:t>
      </w:r>
      <w:r>
        <w:t xml:space="preserve">, all </w:t>
      </w:r>
      <w:r>
        <w:rPr>
          <w:rFonts w:ascii="Consolas" w:hAnsi="Consolas"/>
          <w:sz w:val="20"/>
        </w:rPr>
        <w:t>NOT_NULL</w:t>
      </w:r>
      <w:r>
        <w:t xml:space="preserve">, Red on all 4 dates checked — </w:t>
      </w:r>
      <w:r>
        <w:rPr>
          <w:rFonts w:ascii="Consolas" w:hAnsi="Consolas"/>
          <w:sz w:val="20"/>
        </w:rPr>
        <w:t>ACCOUNT</w:t>
      </w:r>
      <w:r>
        <w:t xml:space="preserve">, </w:t>
      </w:r>
      <w:r>
        <w:rPr>
          <w:rFonts w:ascii="Consolas" w:hAnsi="Consolas"/>
          <w:sz w:val="20"/>
        </w:rPr>
        <w:t>DEAL_ID</w:t>
      </w:r>
      <w:r>
        <w:t xml:space="preserve">, </w:t>
      </w:r>
      <w:r>
        <w:rPr>
          <w:rFonts w:ascii="Consolas" w:hAnsi="Consolas"/>
          <w:sz w:val="20"/>
        </w:rPr>
        <w:t>CURRENCY_ISO_CODE</w:t>
      </w:r>
      <w:r>
        <w:t xml:space="preserve">, </w:t>
      </w:r>
      <w:r>
        <w:rPr>
          <w:rFonts w:ascii="Consolas" w:hAnsi="Consolas"/>
          <w:sz w:val="20"/>
        </w:rPr>
        <w:t>COUNTERPARTY_FIRM</w:t>
      </w:r>
      <w:r>
        <w:t xml:space="preserve">, </w:t>
      </w:r>
      <w:r>
        <w:rPr>
          <w:rFonts w:ascii="Consolas" w:hAnsi="Consolas"/>
          <w:sz w:val="20"/>
        </w:rPr>
        <w:t>SETTLEMENT_DATE</w:t>
      </w:r>
      <w:r>
        <w:t xml:space="preserve">, </w:t>
      </w:r>
      <w:r>
        <w:rPr>
          <w:rFonts w:ascii="Consolas" w:hAnsi="Consolas"/>
          <w:sz w:val="20"/>
        </w:rPr>
        <w:t>PRICE</w:t>
      </w:r>
      <w:r>
        <w:t xml:space="preserve"> and 24 others.</w:t>
      </w:r>
    </w:p>
    <w:p>
      <w:pPr>
        <w:spacing w:before="120" w:after="280"/>
        <w:ind w:left="227"/>
        <w:pBdr>
          <w:left w:val="single" w:sz="18" w:color="2E6E71" w:space="6"/>
        </w:pBdr>
        <w:shd w:val="clear" w:fill="F1F3F2"/>
      </w:pPr>
      <w:r>
        <w:rPr>
          <w:b/>
          <w:color w:val="2E6E71"/>
          <w:sz w:val="18"/>
        </w:rPr>
        <w:t xml:space="preserve">ASK IN THE REVIEW  </w:t>
      </w:r>
      <w:r>
        <w:br/>
      </w:r>
      <w:r>
        <w:rPr>
          <w:i/>
          <w:color w:val="4B565B"/>
          <w:sz w:val="21"/>
        </w:rPr>
        <w:t>MUREX_GPM's 30 null Commodities fields — is that still pre-onboarding mapping work, or a live gap someone owns? And is one ingestion-layer fix behind the 373 NOT_NULL failures worth more than chasing them field by field?</w:t>
      </w:r>
    </w:p>
    <w:p>
      <w:pPr>
        <w:spacing w:after="40"/>
      </w:pPr>
      <w:r>
        <w:rPr>
          <w:b/>
          <w:i w:val="0"/>
          <w:color w:val="8A9296"/>
          <w:sz w:val="18"/>
        </w:rPr>
        <w:t>04   THE CLIFF</w:t>
      </w:r>
    </w:p>
    <w:p>
      <w:pPr>
        <w:pStyle w:val="Heading2"/>
      </w:pPr>
      <w:r>
        <w:t>One day accounts for half the regressions</w:t>
      </w:r>
    </w:p>
    <w:p>
      <w:r>
        <w:rPr>
          <w:b/>
        </w:rPr>
        <w:t>35</w:t>
      </w:r>
      <w:r>
        <w:t xml:space="preserve"> combos were passing (≥90%) the first time they were checked and are now flat 0%. Plotting them by the date they broke shows this isn't 35 unrelated problems:</w:t>
      </w:r>
    </w:p>
    <w:p>
      <w:pPr>
        <w:spacing w:after="80"/>
      </w:pPr>
      <w:r>
        <w:rPr>
          <w:b w:val="0"/>
          <w:i/>
          <w:color w:val="4B565B"/>
          <w:sz w:val="18"/>
        </w:rPr>
        <w:t>Regressions, by date they flipped to 0%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06-16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██████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4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06-18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06-19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06-22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██████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4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06-23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06-24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184F95"/>
                <w:sz w:val="18"/>
              </w:rPr>
              <w:t>████████████████████████████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18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06-25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2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06-26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2</w:t>
            </w:r>
          </w:p>
        </w:tc>
      </w:tr>
      <w:tr>
        <w:tc>
          <w:tcPr>
            <w:tcW w:type="dxa" w:w="1361"/>
          </w:tcPr>
          <w:p>
            <w:pPr>
              <w:spacing w:after="40"/>
              <w:jc w:val="right"/>
            </w:pPr>
            <w:r/>
            <w:r>
              <w:rPr>
                <w:rFonts w:ascii="Consolas" w:hAnsi="Consolas"/>
                <w:color w:val="4B565B"/>
                <w:sz w:val="18"/>
              </w:rPr>
              <w:t>07-19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2A78D6"/>
                <w:sz w:val="18"/>
              </w:rPr>
              <w:t>███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color w:val="14181B"/>
                <w:sz w:val="19"/>
              </w:rPr>
              <w:t>2</w:t>
            </w:r>
          </w:p>
        </w:tc>
      </w:tr>
    </w:tbl>
    <w:p>
      <w:pPr>
        <w:spacing w:after="40"/>
      </w:pPr>
    </w:p>
    <w:p>
      <w:r>
        <w:rPr>
          <w:b/>
        </w:rPr>
        <w:t>18</w:t>
      </w:r>
      <w:r>
        <w:t xml:space="preserve"> of the 35 regressions — over half — flipped on the exact same date, </w:t>
      </w:r>
      <w:r>
        <w:rPr>
          <w:rFonts w:ascii="Consolas" w:hAnsi="Consolas"/>
          <w:sz w:val="20"/>
        </w:rPr>
        <w:t>2026-06-24</w:t>
      </w:r>
      <w:r>
        <w:t xml:space="preserve">. And 27 of the 35 sit under </w:t>
      </w:r>
      <w:r>
        <w:rPr>
          <w:rFonts w:ascii="Consolas" w:hAnsi="Consolas"/>
          <w:sz w:val="20"/>
        </w:rPr>
        <w:t>asset_type=DEFAULT</w:t>
      </w:r>
      <w:r>
        <w:t xml:space="preserve">. </w:t>
      </w:r>
      <w:r>
        <w:rPr>
          <w:rFonts w:ascii="Consolas" w:hAnsi="Consolas"/>
          <w:sz w:val="20"/>
        </w:rPr>
        <w:t>CALYPSO</w:t>
      </w:r>
      <w:r>
        <w:t xml:space="preserve"> (4), </w:t>
      </w:r>
      <w:r>
        <w:rPr>
          <w:rFonts w:ascii="Consolas" w:hAnsi="Consolas"/>
          <w:sz w:val="20"/>
        </w:rPr>
        <w:t>FIS</w:t>
      </w:r>
      <w:r>
        <w:t xml:space="preserve"> (3) and </w:t>
      </w:r>
      <w:r>
        <w:rPr>
          <w:rFonts w:ascii="Consolas" w:hAnsi="Consolas"/>
          <w:sz w:val="20"/>
        </w:rPr>
        <w:t>tradeSmartAPAC</w:t>
      </w:r>
      <w:r>
        <w:t xml:space="preserve"> (3) account for the most-hit sources on that date, alongside </w:t>
      </w:r>
      <w:r>
        <w:rPr>
          <w:rFonts w:ascii="Consolas" w:hAnsi="Consolas"/>
          <w:sz w:val="20"/>
        </w:rPr>
        <w:t>CALYPSO_IFI</w:t>
      </w:r>
      <w:r>
        <w:t xml:space="preserve">, </w:t>
      </w:r>
      <w:r>
        <w:rPr>
          <w:rFonts w:ascii="Consolas" w:hAnsi="Consolas"/>
          <w:sz w:val="20"/>
        </w:rPr>
        <w:t>BROADRIDGE</w:t>
      </w:r>
      <w:r>
        <w:t xml:space="preserve">, </w:t>
      </w:r>
      <w:r>
        <w:rPr>
          <w:rFonts w:ascii="Consolas" w:hAnsi="Consolas"/>
          <w:sz w:val="20"/>
        </w:rPr>
        <w:t>ION</w:t>
      </w:r>
      <w:r>
        <w:t xml:space="preserve"> and </w:t>
      </w:r>
      <w:r>
        <w:rPr>
          <w:rFonts w:ascii="Consolas" w:hAnsi="Consolas"/>
          <w:sz w:val="20"/>
        </w:rPr>
        <w:t>TOMS</w:t>
      </w:r>
      <w:r>
        <w:t xml:space="preserve"> at 2 each.</w:t>
      </w:r>
    </w:p>
    <w:p>
      <w:r>
        <w:t>This is the highest-leverage list in the whole file: it looks like one upstream change broke 18 checks at once, not 18 separate root causes.</w:t>
      </w:r>
    </w:p>
    <w:p>
      <w:pPr>
        <w:spacing w:before="120" w:after="280"/>
        <w:ind w:left="227"/>
        <w:pBdr>
          <w:left w:val="single" w:sz="18" w:color="2E6E71" w:space="6"/>
        </w:pBdr>
        <w:shd w:val="clear" w:fill="F1F3F2"/>
      </w:pPr>
      <w:r>
        <w:rPr>
          <w:b/>
          <w:color w:val="2E6E71"/>
          <w:sz w:val="18"/>
        </w:rPr>
        <w:t xml:space="preserve">ASK IN THE REVIEW  </w:t>
      </w:r>
      <w:r>
        <w:br/>
      </w:r>
      <w:r>
        <w:rPr>
          <w:i/>
          <w:color w:val="4B565B"/>
          <w:sz w:val="21"/>
        </w:rPr>
        <w:t>What shipped or changed around 2026-06-24? One fix here could plausibly clear half the regression list in a single pass.</w:t>
      </w:r>
    </w:p>
    <w:p>
      <w:pPr>
        <w:spacing w:after="40"/>
      </w:pPr>
      <w:r>
        <w:rPr>
          <w:b/>
          <w:i w:val="0"/>
          <w:color w:val="8A9296"/>
          <w:sz w:val="18"/>
        </w:rPr>
        <w:t>05   THE COUNTER-EVIDENCE</w:t>
      </w:r>
    </w:p>
    <w:p>
      <w:pPr>
        <w:pStyle w:val="Heading2"/>
      </w:pPr>
      <w:r>
        <w:t>43 checks that prove fixes do land</w:t>
      </w:r>
    </w:p>
    <w:p>
      <w:r>
        <w:t>The mirror list: combos that started at a flat 0% and are now passing ≥90%. Worth bringing to the review as evidence, not just the complaint side of the ledger.</w:t>
      </w:r>
    </w:p>
    <w:p>
      <w:r>
        <w:rPr>
          <w:rFonts w:ascii="Consolas" w:hAnsi="Consolas"/>
          <w:sz w:val="20"/>
        </w:rPr>
        <w:t>Dealerweb</w:t>
      </w:r>
      <w:r>
        <w:t xml:space="preserve">, </w:t>
      </w:r>
      <w:r>
        <w:rPr>
          <w:rFonts w:ascii="Consolas" w:hAnsi="Consolas"/>
          <w:sz w:val="20"/>
        </w:rPr>
        <w:t>CALYPSO</w:t>
      </w:r>
      <w:r>
        <w:t xml:space="preserve">, </w:t>
      </w:r>
      <w:r>
        <w:rPr>
          <w:rFonts w:ascii="Consolas" w:hAnsi="Consolas"/>
          <w:sz w:val="20"/>
        </w:rPr>
        <w:t>Darwin</w:t>
      </w:r>
      <w:r>
        <w:t xml:space="preserve">, </w:t>
      </w:r>
      <w:r>
        <w:rPr>
          <w:rFonts w:ascii="Consolas" w:hAnsi="Consolas"/>
          <w:sz w:val="20"/>
        </w:rPr>
        <w:t>Fenics</w:t>
      </w:r>
      <w:r>
        <w:t xml:space="preserve">, </w:t>
      </w:r>
      <w:r>
        <w:rPr>
          <w:rFonts w:ascii="Consolas" w:hAnsi="Consolas"/>
          <w:sz w:val="20"/>
        </w:rPr>
        <w:t>FIS</w:t>
      </w:r>
      <w:r>
        <w:t xml:space="preserve"> and </w:t>
      </w:r>
      <w:r>
        <w:rPr>
          <w:rFonts w:ascii="Consolas" w:hAnsi="Consolas"/>
          <w:sz w:val="20"/>
        </w:rPr>
        <w:t>HTGM</w:t>
      </w:r>
      <w:r>
        <w:t xml:space="preserve"> all flipped from 0% to passing within the tracked window — several within a single day of each other, suggesting a deliberate fix rather than a fluke.</w:t>
      </w:r>
    </w:p>
    <w:p>
      <w:r>
        <w:br w:type="page"/>
      </w:r>
    </w:p>
    <w:p>
      <w:pPr>
        <w:spacing w:after="40"/>
      </w:pPr>
      <w:r>
        <w:rPr>
          <w:b/>
          <w:i w:val="0"/>
          <w:color w:val="8A9296"/>
          <w:sz w:val="18"/>
        </w:rPr>
        <w:t>→   BRING TO THE REVIEW</w:t>
      </w:r>
    </w:p>
    <w:p>
      <w:pPr>
        <w:pStyle w:val="Heading2"/>
      </w:pPr>
      <w:r>
        <w:t>Five questions worth asking out loud</w:t>
      </w:r>
    </w:p>
    <w:p>
      <w:pPr>
        <w:spacing w:after="200"/>
      </w:pPr>
      <w:r>
        <w:rPr>
          <w:b w:val="0"/>
          <w:i/>
          <w:color w:val="4B565B"/>
          <w:sz w:val="21"/>
        </w:rPr>
        <w:t>In priority order — the first two are the highest-leverage, lowest-effort wins in the whole dataset.</w:t>
      </w:r>
    </w:p>
    <w:p>
      <w:pPr>
        <w:spacing w:after="40"/>
      </w:pPr>
      <w:r>
        <w:rPr>
          <w:b/>
          <w:color w:val="14181B"/>
          <w:sz w:val="22"/>
        </w:rPr>
        <w:t>☐  What happened on 2026-06-24?</w:t>
      </w:r>
    </w:p>
    <w:p>
      <w:pPr>
        <w:spacing w:after="200"/>
        <w:ind w:left="340"/>
      </w:pPr>
      <w:r>
        <w:rPr>
          <w:i/>
          <w:color w:val="4B565B"/>
          <w:sz w:val="19"/>
        </w:rPr>
        <w:t>It broke 18 checks across CALYPSO, FIS, tradeSmartAPAC and five other sources in one day.</w:t>
      </w:r>
    </w:p>
    <w:p>
      <w:pPr>
        <w:spacing w:after="40"/>
      </w:pPr>
      <w:r>
        <w:rPr>
          <w:b/>
          <w:color w:val="14181B"/>
          <w:sz w:val="22"/>
        </w:rPr>
        <w:t>☐  Who owns rule config for the 57 blank FIELD_EXPRESSION rows?</w:t>
      </w:r>
    </w:p>
    <w:p>
      <w:pPr>
        <w:spacing w:after="200"/>
        <w:ind w:left="340"/>
      </w:pPr>
      <w:r>
        <w:rPr>
          <w:i/>
          <w:color w:val="4B565B"/>
          <w:sz w:val="19"/>
        </w:rPr>
        <w:t>BrokerTec, Fenics, ICAP_TSA, EBS and Limpid — they're not measuring anything right now.</w:t>
      </w:r>
    </w:p>
    <w:p>
      <w:pPr>
        <w:spacing w:after="40"/>
      </w:pPr>
      <w:r>
        <w:rPr>
          <w:b/>
          <w:color w:val="14181B"/>
          <w:sz w:val="22"/>
        </w:rPr>
        <w:t>☐  Is the 06-26 → 07-12 reporting gap expected?</w:t>
      </w:r>
    </w:p>
    <w:p>
      <w:pPr>
        <w:spacing w:after="200"/>
        <w:ind w:left="340"/>
      </w:pPr>
      <w:r>
        <w:rPr>
          <w:i/>
          <w:color w:val="4B565B"/>
          <w:sz w:val="19"/>
        </w:rPr>
        <w:t>Or are exports missing for that stretch?</w:t>
      </w:r>
    </w:p>
    <w:p>
      <w:pPr>
        <w:spacing w:after="40"/>
      </w:pPr>
      <w:r>
        <w:rPr>
          <w:b/>
          <w:color w:val="14181B"/>
          <w:sz w:val="22"/>
        </w:rPr>
        <w:t>☐  MUREX_GPM's 30 chronically-null Commodities fields —</w:t>
      </w:r>
    </w:p>
    <w:p>
      <w:pPr>
        <w:spacing w:after="200"/>
        <w:ind w:left="340"/>
      </w:pPr>
      <w:r>
        <w:rPr>
          <w:i/>
          <w:color w:val="4B565B"/>
          <w:sz w:val="19"/>
        </w:rPr>
        <w:t>pre-onboarding mapping work in progress, or a live gap nobody's tracking?</w:t>
      </w:r>
    </w:p>
    <w:p>
      <w:pPr>
        <w:spacing w:after="40"/>
      </w:pPr>
      <w:r>
        <w:rPr>
          <w:b/>
          <w:color w:val="14181B"/>
          <w:sz w:val="22"/>
        </w:rPr>
        <w:t>☐  NOT_NULL failures are 84% of the standing backlog (373 of 445) —</w:t>
      </w:r>
    </w:p>
    <w:p>
      <w:pPr>
        <w:spacing w:after="200"/>
        <w:ind w:left="340"/>
      </w:pPr>
      <w:r>
        <w:rPr>
          <w:i/>
          <w:color w:val="4B565B"/>
          <w:sz w:val="19"/>
        </w:rPr>
        <w:t>is there a shared ingestion-layer cause worth fixing once, rather than per field?</w:t>
      </w:r>
    </w:p>
    <w:p>
      <w:pPr>
        <w:spacing w:before="480"/>
        <w:pBdr>
          <w:top w:val="single" w:sz="6" w:color="DADFDD" w:space="8"/>
        </w:pBdr>
      </w:pPr>
      <w:r>
        <w:rPr>
          <w:color w:val="8A9296"/>
          <w:sz w:val="16"/>
        </w:rPr>
        <w:t>Source: Data/Metrics/SSDR DQC Validity Checks.csv  ·  companion workbook: Data/Metrics/SSDR DQC Pivots.xlsx</w:t>
        <w:br/>
      </w:r>
      <w:r>
        <w:rPr>
          <w:color w:val="8A9296"/>
          <w:sz w:val="16"/>
        </w:rPr>
        <w:t>Chronic = Red on every date seen, minimum 3 dates. Regression = ≥90% on first date seen, 0% on most recent date. Generated 2026-07-20.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Calibri" w:hAnsi="Calibri"/>
      <w:color w:val="1418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418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4181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418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