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TD Securities — Trade Surveillance Case Study</w:t>
      </w:r>
    </w:p>
    <w:p>
      <w:pPr>
        <w:jc w:val="center"/>
      </w:pPr>
      <w:r>
        <w:rPr>
          <w:i/>
          <w:sz w:val="24"/>
        </w:rPr>
        <w:t>Executive Summary</w:t>
      </w:r>
    </w:p>
    <w:p>
      <w:pPr>
        <w:jc w:val="center"/>
      </w:pPr>
      <w:r>
        <w:rPr>
          <w:i/>
          <w:sz w:val="18"/>
        </w:rPr>
        <w:t>Prepared by Shravan Challa  -  2026-05-13  -  Bundle: 00 (this) + Stage 1 + Stage P1 + Stage P2 + Stage P3 + Methodology Journal</w:t>
      </w:r>
    </w:p>
    <w:p>
      <w:r>
        <w:rPr>
          <w:b/>
        </w:rPr>
        <w:t xml:space="preserve">Bottom line.  </w:t>
      </w:r>
      <w:r>
        <w:t>The dataset is now ingestable but is not yet surveillable. P1 recovered 242,429 of 250,714 raw lines (96.70% parse rate, zero quarantine). P2 reveals four structural defects that, even after P1 cleaning, would render the surveillance system's alerts unreliable: an unstable Instrument-to-ISIN mapping, missing trader attribution on most fills, an Account column overwritten by the firm-level value on 97% of rows, and 1-in-10 child events with no resolvable parent. P3 turns these into a recurring scorecard so the surveillance team can re-run the same audit on every new feed. Status across 44 metrics: 21 GREEN, 6 AMBER, 17 RED.</w:t>
      </w:r>
    </w:p>
    <w:p>
      <w:r>
        <w:rPr>
          <w:b/>
        </w:rPr>
        <w:t xml:space="preserve">JPM-case anchor.  </w:t>
      </w:r>
      <w:r>
        <w:t>Priority 1 was framed against the 2024 JPMorgan / Fed-OCC trade-surveillance enforcement, where records the surveillance system never received could not be surveilled. P1 closes that specific gap on this feed: a strict-LF reader would silently drop 4,193 bare-CR lines plus mis-parse the 41.65% of records carrying multi-line cells. The repaired pipeline preserves every record. The remaining defects (P2) sit upstream of the surveillance system, not inside it.</w:t>
      </w:r>
    </w:p>
    <w:p>
      <w:r>
        <w:rPr>
          <w:b/>
          <w:sz w:val="22"/>
        </w:rPr>
        <w:t>Four headline findings (the conversation-leading material).</w:t>
      </w:r>
    </w:p>
    <w:tbl>
      <w:tblPr>
        <w:tblStyle w:val="LightGrid-Accent1"/>
        <w:tblW w:type="auto" w:w="0"/>
        <w:tblLayout w:type="fixed"/>
        <w:tblLook w:firstColumn="1" w:firstRow="1" w:lastColumn="0" w:lastRow="0" w:noHBand="0" w:noVBand="1" w:val="04A0"/>
      </w:tblPr>
      <w:tblGrid>
        <w:gridCol w:w="3456"/>
        <w:gridCol w:w="2448"/>
        <w:gridCol w:w="2736"/>
        <w:gridCol w:w="2160"/>
      </w:tblGrid>
      <w:tr>
        <w:tc>
          <w:tcPr>
            <w:tcW w:type="dxa" w:w="2628"/>
            <w:shd w:val="clear" w:color="auto" w:fill="1F3A5F"/>
          </w:tcPr>
          <w:p>
            <w:r/>
            <w:r>
              <w:rPr>
                <w:b/>
                <w:color w:val="FFFFFF"/>
                <w:sz w:val="18"/>
              </w:rPr>
              <w:t>Finding</w:t>
            </w:r>
          </w:p>
        </w:tc>
        <w:tc>
          <w:tcPr>
            <w:tcW w:type="dxa" w:w="2628"/>
            <w:shd w:val="clear" w:color="auto" w:fill="1F3A5F"/>
          </w:tcPr>
          <w:p>
            <w:r/>
            <w:r>
              <w:rPr>
                <w:b/>
                <w:color w:val="FFFFFF"/>
                <w:sz w:val="18"/>
              </w:rPr>
              <w:t>Headline metric</w:t>
            </w:r>
          </w:p>
        </w:tc>
        <w:tc>
          <w:tcPr>
            <w:tcW w:type="dxa" w:w="2628"/>
            <w:shd w:val="clear" w:color="auto" w:fill="1F3A5F"/>
          </w:tcPr>
          <w:p>
            <w:r/>
            <w:r>
              <w:rPr>
                <w:b/>
                <w:color w:val="FFFFFF"/>
                <w:sz w:val="18"/>
              </w:rPr>
              <w:t>Evidence</w:t>
            </w:r>
          </w:p>
        </w:tc>
        <w:tc>
          <w:tcPr>
            <w:tcW w:type="dxa" w:w="2628"/>
            <w:shd w:val="clear" w:color="auto" w:fill="1F3A5F"/>
          </w:tcPr>
          <w:p>
            <w:r/>
            <w:r>
              <w:rPr>
                <w:b/>
                <w:color w:val="FFFFFF"/>
                <w:sz w:val="18"/>
              </w:rPr>
              <w:t>Surveillance impact</w:t>
            </w:r>
          </w:p>
        </w:tc>
      </w:tr>
      <w:tr>
        <w:tc>
          <w:tcPr>
            <w:tcW w:type="dxa" w:w="2628"/>
          </w:tcPr>
          <w:p>
            <w:r/>
            <w:r>
              <w:rPr>
                <w:b/>
                <w:sz w:val="17"/>
              </w:rPr>
              <w:t>F1.  Instrument-to-ISIN mapping is unstable</w:t>
            </w:r>
          </w:p>
        </w:tc>
        <w:tc>
          <w:tcPr>
            <w:tcW w:type="dxa" w:w="2628"/>
          </w:tcPr>
          <w:p>
            <w:r/>
            <w:r>
              <w:rPr>
                <w:sz w:val="17"/>
              </w:rPr>
              <w:t>88.8% of instruments map to multiple ISINs</w:t>
            </w:r>
          </w:p>
        </w:tc>
        <w:tc>
          <w:tcPr>
            <w:tcW w:type="dxa" w:w="2628"/>
          </w:tcPr>
          <w:p>
            <w:r/>
            <w:r>
              <w:rPr>
                <w:sz w:val="17"/>
              </w:rPr>
              <w:t>OO -&gt; 4,528 ISINs, YAZ -&gt; 1,553, YV -&gt; 836</w:t>
            </w:r>
          </w:p>
        </w:tc>
        <w:tc>
          <w:tcPr>
            <w:tcW w:type="dxa" w:w="2628"/>
          </w:tcPr>
          <w:p>
            <w:r/>
            <w:r>
              <w:rPr>
                <w:sz w:val="17"/>
              </w:rPr>
              <w:t>Per-instrument surveillance rules (price outlier, position aggregation, market-data join) cannot fire reliably.</w:t>
            </w:r>
          </w:p>
        </w:tc>
      </w:tr>
      <w:tr>
        <w:tc>
          <w:tcPr>
            <w:tcW w:type="dxa" w:w="2628"/>
          </w:tcPr>
          <w:p>
            <w:r/>
            <w:r>
              <w:rPr>
                <w:b/>
                <w:sz w:val="17"/>
              </w:rPr>
              <w:t>F2.  Trader attribution missing on most fills</w:t>
            </w:r>
          </w:p>
        </w:tc>
        <w:tc>
          <w:tcPr>
            <w:tcW w:type="dxa" w:w="2628"/>
          </w:tcPr>
          <w:p>
            <w:r/>
            <w:r>
              <w:rPr>
                <w:sz w:val="17"/>
              </w:rPr>
              <w:t>35.1% of fills carry a Trader</w:t>
            </w:r>
          </w:p>
        </w:tc>
        <w:tc>
          <w:tcPr>
            <w:tcW w:type="dxa" w:w="2628"/>
          </w:tcPr>
          <w:p>
            <w:r/>
            <w:r>
              <w:rPr>
                <w:sz w:val="17"/>
              </w:rPr>
              <w:t>39,115 of 111,343 fills lack attribution</w:t>
            </w:r>
          </w:p>
        </w:tc>
        <w:tc>
          <w:tcPr>
            <w:tcW w:type="dxa" w:w="2628"/>
          </w:tcPr>
          <w:p>
            <w:r/>
            <w:r>
              <w:rPr>
                <w:sz w:val="17"/>
              </w:rPr>
              <w:t>Reg-best-execution + MAR market-abuse attribution gap. Regulator-exam critical.</w:t>
            </w:r>
          </w:p>
        </w:tc>
      </w:tr>
      <w:tr>
        <w:tc>
          <w:tcPr>
            <w:tcW w:type="dxa" w:w="2628"/>
          </w:tcPr>
          <w:p>
            <w:r/>
            <w:r>
              <w:rPr>
                <w:b/>
                <w:sz w:val="17"/>
              </w:rPr>
              <w:t>F3.  Account is collapsed to CounterPartyFirm on 97% of rows</w:t>
            </w:r>
          </w:p>
        </w:tc>
        <w:tc>
          <w:tcPr>
            <w:tcW w:type="dxa" w:w="2628"/>
          </w:tcPr>
          <w:p>
            <w:r/>
            <w:r>
              <w:rPr>
                <w:sz w:val="17"/>
              </w:rPr>
              <w:t>97.4% Account == CPF</w:t>
            </w:r>
          </w:p>
        </w:tc>
        <w:tc>
          <w:tcPr>
            <w:tcW w:type="dxa" w:w="2628"/>
          </w:tcPr>
          <w:p>
            <w:r/>
            <w:r>
              <w:rPr>
                <w:sz w:val="17"/>
              </w:rPr>
              <w:t>Stage-1 profile shows Account has 1,043 distinct values (vs CPF=100), but the granular value appears on only 2.6% of rows</w:t>
            </w:r>
          </w:p>
        </w:tc>
        <w:tc>
          <w:tcPr>
            <w:tcW w:type="dxa" w:w="2628"/>
          </w:tcPr>
          <w:p>
            <w:r/>
            <w:r>
              <w:rPr>
                <w:sz w:val="17"/>
              </w:rPr>
              <w:t>Wash-trade rules cannot isolate one account inside a firm. Looks like an upstream column-copy bug.</w:t>
            </w:r>
          </w:p>
        </w:tc>
      </w:tr>
      <w:tr>
        <w:tc>
          <w:tcPr>
            <w:tcW w:type="dxa" w:w="2628"/>
          </w:tcPr>
          <w:p>
            <w:r/>
            <w:r>
              <w:rPr>
                <w:b/>
                <w:sz w:val="17"/>
              </w:rPr>
              <w:t>F4.  Order lineage has 10% holes</w:t>
            </w:r>
          </w:p>
        </w:tc>
        <w:tc>
          <w:tcPr>
            <w:tcW w:type="dxa" w:w="2628"/>
          </w:tcPr>
          <w:p>
            <w:r/>
            <w:r>
              <w:rPr>
                <w:sz w:val="17"/>
              </w:rPr>
              <w:t>A2 = 9.92% orphaned ParentOrderIds; B1 time-travel = 6.06%</w:t>
            </w:r>
          </w:p>
        </w:tc>
        <w:tc>
          <w:tcPr>
            <w:tcW w:type="dxa" w:w="2628"/>
          </w:tcPr>
          <w:p>
            <w:r/>
            <w:r>
              <w:rPr>
                <w:sz w:val="17"/>
              </w:rPr>
              <w:t>B2 over-fill on 1,748 parents; B3 fill-after-cancel on 1,286 rows</w:t>
            </w:r>
          </w:p>
        </w:tc>
        <w:tc>
          <w:tcPr>
            <w:tcW w:type="dxa" w:w="2628"/>
          </w:tcPr>
          <w:p>
            <w:r/>
            <w:r>
              <w:rPr>
                <w:sz w:val="17"/>
              </w:rPr>
              <w:t>Lifecycle reconstruction breaks for 10% of child events. Producer must guarantee parent-first ordering.</w:t>
            </w:r>
          </w:p>
        </w:tc>
      </w:tr>
    </w:tbl>
    <w:p>
      <w:r>
        <w:rPr>
          <w:b/>
          <w:sz w:val="22"/>
        </w:rPr>
        <w:t>Ownership — who fixes what.</w:t>
      </w:r>
    </w:p>
    <w:p>
      <w:r>
        <w:t>Every 'rule fires too much' finding traces back to an upstream defect, not a bad rule. The producer's data needs to change. The surveillance team's rules are mostly fine; they just can't be evaluated on this feed.</w:t>
      </w:r>
    </w:p>
    <w:tbl>
      <w:tblPr>
        <w:tblStyle w:val="LightGrid-Accent1"/>
        <w:tblW w:type="auto" w:w="0"/>
        <w:tblLayout w:type="fixed"/>
        <w:tblLook w:firstColumn="1" w:firstRow="1" w:lastColumn="0" w:lastRow="0" w:noHBand="0" w:noVBand="1" w:val="04A0"/>
      </w:tblPr>
      <w:tblGrid>
        <w:gridCol w:w="2592"/>
        <w:gridCol w:w="3744"/>
        <w:gridCol w:w="4464"/>
      </w:tblGrid>
      <w:tr>
        <w:tc>
          <w:tcPr>
            <w:tcW w:type="dxa" w:w="3504"/>
            <w:shd w:val="clear" w:color="auto" w:fill="1F3A5F"/>
          </w:tcPr>
          <w:p>
            <w:r/>
            <w:r>
              <w:rPr>
                <w:b/>
                <w:color w:val="FFFFFF"/>
                <w:sz w:val="18"/>
              </w:rPr>
              <w:t>Owner</w:t>
            </w:r>
          </w:p>
        </w:tc>
        <w:tc>
          <w:tcPr>
            <w:tcW w:type="dxa" w:w="3504"/>
            <w:shd w:val="clear" w:color="auto" w:fill="1F3A5F"/>
          </w:tcPr>
          <w:p>
            <w:r/>
            <w:r>
              <w:rPr>
                <w:b/>
                <w:color w:val="FFFFFF"/>
                <w:sz w:val="18"/>
              </w:rPr>
              <w:t>Findings owned</w:t>
            </w:r>
          </w:p>
        </w:tc>
        <w:tc>
          <w:tcPr>
            <w:tcW w:type="dxa" w:w="3504"/>
            <w:shd w:val="clear" w:color="auto" w:fill="1F3A5F"/>
          </w:tcPr>
          <w:p>
            <w:r/>
            <w:r>
              <w:rPr>
                <w:b/>
                <w:color w:val="FFFFFF"/>
                <w:sz w:val="18"/>
              </w:rPr>
              <w:t>Action</w:t>
            </w:r>
          </w:p>
        </w:tc>
      </w:tr>
      <w:tr>
        <w:tc>
          <w:tcPr>
            <w:tcW w:type="dxa" w:w="3504"/>
          </w:tcPr>
          <w:p>
            <w:r/>
            <w:r>
              <w:rPr>
                <w:b/>
                <w:sz w:val="17"/>
              </w:rPr>
              <w:t>Producer (data feed)</w:t>
            </w:r>
          </w:p>
        </w:tc>
        <w:tc>
          <w:tcPr>
            <w:tcW w:type="dxa" w:w="3504"/>
          </w:tcPr>
          <w:p>
            <w:r/>
            <w:r>
              <w:rPr>
                <w:sz w:val="17"/>
              </w:rPr>
              <w:t>F1, F2, F3, F4; A4 schema misuse; B2 over-fills; B4 replace-without-parent</w:t>
            </w:r>
          </w:p>
        </w:tc>
        <w:tc>
          <w:tcPr>
            <w:tcW w:type="dxa" w:w="3504"/>
          </w:tcPr>
          <w:p>
            <w:r/>
            <w:r>
              <w:rPr>
                <w:sz w:val="17"/>
              </w:rPr>
              <w:t>Resolve symbol-to-ISIN reference data; backfill Trader from OMS; restore granular Account; guarantee parent-first ordering; fix MessageType labelling; investigate over-fill cap.</w:t>
            </w:r>
          </w:p>
        </w:tc>
      </w:tr>
      <w:tr>
        <w:tc>
          <w:tcPr>
            <w:tcW w:type="dxa" w:w="3504"/>
          </w:tcPr>
          <w:p>
            <w:r/>
            <w:r>
              <w:rPr>
                <w:b/>
                <w:sz w:val="17"/>
              </w:rPr>
              <w:t>Surveillance team (rules)</w:t>
            </w:r>
          </w:p>
        </w:tc>
        <w:tc>
          <w:tcPr>
            <w:tcW w:type="dxa" w:w="3504"/>
          </w:tcPr>
          <w:p>
            <w:r/>
            <w:r>
              <w:rPr>
                <w:sz w:val="17"/>
              </w:rPr>
              <w:t>F1 cancel-ratio threshold; G1 price-outlier threshold; B3 fill-after-cancel review</w:t>
            </w:r>
          </w:p>
        </w:tc>
        <w:tc>
          <w:tcPr>
            <w:tcW w:type="dxa" w:w="3504"/>
          </w:tcPr>
          <w:p>
            <w:r/>
            <w:r>
              <w:rPr>
                <w:sz w:val="17"/>
              </w:rPr>
              <w:t>Tune F1 threshold once Trader coverage improves (M6.1); re-evaluate G1 once C1 is resolved; decide which B3 events are race-conditions vs investigations.</w:t>
            </w:r>
          </w:p>
        </w:tc>
      </w:tr>
      <w:tr>
        <w:tc>
          <w:tcPr>
            <w:tcW w:type="dxa" w:w="3504"/>
          </w:tcPr>
          <w:p>
            <w:r/>
            <w:r>
              <w:rPr>
                <w:b/>
                <w:sz w:val="17"/>
              </w:rPr>
              <w:t>Both</w:t>
            </w:r>
          </w:p>
        </w:tc>
        <w:tc>
          <w:tcPr>
            <w:tcW w:type="dxa" w:w="3504"/>
          </w:tcPr>
          <w:p>
            <w:r/>
            <w:r>
              <w:rPr>
                <w:sz w:val="17"/>
              </w:rPr>
              <w:t>F2/G1 (downstream of producer fixes); P3 scorecard governance</w:t>
            </w:r>
          </w:p>
        </w:tc>
        <w:tc>
          <w:tcPr>
            <w:tcW w:type="dxa" w:w="3504"/>
          </w:tcPr>
          <w:p>
            <w:r/>
            <w:r>
              <w:rPr>
                <w:sz w:val="17"/>
              </w:rPr>
              <w:t>Re-baseline F2 wash-trade and G1 outlier thresholds AFTER producer ships fixes for D1/C1. Establish RED/AMBER/GREEN review cadence per the M1-M7 themes.</w:t>
            </w:r>
          </w:p>
        </w:tc>
      </w:tr>
    </w:tbl>
    <w:p>
      <w:r>
        <w:rPr>
          <w:b/>
          <w:sz w:val="22"/>
        </w:rPr>
        <w:t>Where to dig.</w:t>
      </w:r>
    </w:p>
    <w:tbl>
      <w:tblPr>
        <w:tblStyle w:val="LightGrid-Accent1"/>
        <w:tblW w:type="auto" w:w="0"/>
        <w:tblLayout w:type="fixed"/>
        <w:tblLook w:firstColumn="1" w:firstRow="1" w:lastColumn="0" w:lastRow="0" w:noHBand="0" w:noVBand="1" w:val="04A0"/>
      </w:tblPr>
      <w:tblGrid>
        <w:gridCol w:w="3888"/>
        <w:gridCol w:w="6768"/>
      </w:tblGrid>
      <w:tr>
        <w:tc>
          <w:tcPr>
            <w:tcW w:type="dxa" w:w="5256"/>
            <w:shd w:val="clear" w:color="auto" w:fill="1F3A5F"/>
          </w:tcPr>
          <w:p>
            <w:r/>
            <w:r>
              <w:rPr>
                <w:b/>
                <w:color w:val="FFFFFF"/>
                <w:sz w:val="18"/>
              </w:rPr>
              <w:t>File</w:t>
            </w:r>
          </w:p>
        </w:tc>
        <w:tc>
          <w:tcPr>
            <w:tcW w:type="dxa" w:w="5256"/>
            <w:shd w:val="clear" w:color="auto" w:fill="1F3A5F"/>
          </w:tcPr>
          <w:p>
            <w:r/>
            <w:r>
              <w:rPr>
                <w:b/>
                <w:color w:val="FFFFFF"/>
                <w:sz w:val="18"/>
              </w:rPr>
              <w:t>What you'll find</w:t>
            </w:r>
          </w:p>
        </w:tc>
      </w:tr>
      <w:tr>
        <w:tc>
          <w:tcPr>
            <w:tcW w:type="dxa" w:w="5256"/>
          </w:tcPr>
          <w:p>
            <w:r/>
            <w:r>
              <w:rPr>
                <w:rFonts w:ascii="Consolas" w:hAnsi="Consolas"/>
                <w:sz w:val="17"/>
              </w:rPr>
              <w:t>00_executive_summary.docx</w:t>
            </w:r>
          </w:p>
        </w:tc>
        <w:tc>
          <w:tcPr>
            <w:tcW w:type="dxa" w:w="5256"/>
          </w:tcPr>
          <w:p>
            <w:r/>
            <w:r>
              <w:rPr>
                <w:sz w:val="17"/>
              </w:rPr>
              <w:t>This document — bottom line, headline findings, ownership, productization opportunity.</w:t>
            </w:r>
          </w:p>
        </w:tc>
      </w:tr>
      <w:tr>
        <w:tc>
          <w:tcPr>
            <w:tcW w:type="dxa" w:w="5256"/>
          </w:tcPr>
          <w:p>
            <w:r/>
            <w:r>
              <w:rPr>
                <w:rFonts w:ascii="Consolas" w:hAnsi="Consolas"/>
                <w:sz w:val="17"/>
              </w:rPr>
              <w:t>02_productization_proposal.docx</w:t>
            </w:r>
          </w:p>
        </w:tc>
        <w:tc>
          <w:tcPr>
            <w:tcW w:type="dxa" w:w="5256"/>
          </w:tcPr>
          <w:p>
            <w:r/>
            <w:r>
              <w:rPr>
                <w:sz w:val="17"/>
              </w:rPr>
              <w:t>Standalone product pitch — four framings for turning the case study into a recurring TD surveillance capability.</w:t>
            </w:r>
          </w:p>
        </w:tc>
      </w:tr>
      <w:tr>
        <w:tc>
          <w:tcPr>
            <w:tcW w:type="dxa" w:w="5256"/>
          </w:tcPr>
          <w:p>
            <w:r/>
            <w:r>
              <w:rPr>
                <w:rFonts w:ascii="Consolas" w:hAnsi="Consolas"/>
                <w:sz w:val="17"/>
              </w:rPr>
              <w:t>stage1_profile_audit.docx</w:t>
            </w:r>
          </w:p>
        </w:tc>
        <w:tc>
          <w:tcPr>
            <w:tcW w:type="dxa" w:w="5256"/>
          </w:tcPr>
          <w:p>
            <w:r/>
            <w:r>
              <w:rPr>
                <w:sz w:val="17"/>
              </w:rPr>
              <w:t>Stage 1 — column-by-column raw-data audit. The 'before' state, with raw-row evidence.</w:t>
            </w:r>
          </w:p>
        </w:tc>
      </w:tr>
      <w:tr>
        <w:tc>
          <w:tcPr>
            <w:tcW w:type="dxa" w:w="5256"/>
          </w:tcPr>
          <w:p>
            <w:r/>
            <w:r>
              <w:rPr>
                <w:rFonts w:ascii="Consolas" w:hAnsi="Consolas"/>
                <w:sz w:val="17"/>
              </w:rPr>
              <w:t>stage_p1_repair_report.docx</w:t>
            </w:r>
          </w:p>
        </w:tc>
        <w:tc>
          <w:tcPr>
            <w:tcW w:type="dxa" w:w="5256"/>
          </w:tcPr>
          <w:p>
            <w:r/>
            <w:r>
              <w:rPr>
                <w:sz w:val="17"/>
              </w:rPr>
              <w:t>Stage P1 — every named normalisation rule (N1..N11), the rationale, the count of rows it touched.</w:t>
            </w:r>
          </w:p>
        </w:tc>
      </w:tr>
      <w:tr>
        <w:tc>
          <w:tcPr>
            <w:tcW w:type="dxa" w:w="5256"/>
          </w:tcPr>
          <w:p>
            <w:r/>
            <w:r>
              <w:rPr>
                <w:rFonts w:ascii="Consolas" w:hAnsi="Consolas"/>
                <w:sz w:val="17"/>
              </w:rPr>
              <w:t>stage_p2_accuracy_efficacy.docx</w:t>
            </w:r>
          </w:p>
        </w:tc>
        <w:tc>
          <w:tcPr>
            <w:tcW w:type="dxa" w:w="5256"/>
          </w:tcPr>
          <w:p>
            <w:r/>
            <w:r>
              <w:rPr>
                <w:sz w:val="17"/>
              </w:rPr>
              <w:t>Stage P2 — surveillance-domain checks (Lineage / Lifecycle / Instrument / Account / Trader / Signatures / Statistical).</w:t>
            </w:r>
          </w:p>
        </w:tc>
      </w:tr>
      <w:tr>
        <w:tc>
          <w:tcPr>
            <w:tcW w:type="dxa" w:w="5256"/>
          </w:tcPr>
          <w:p>
            <w:r/>
            <w:r>
              <w:rPr>
                <w:rFonts w:ascii="Consolas" w:hAnsi="Consolas"/>
                <w:sz w:val="17"/>
              </w:rPr>
              <w:t>stage_p3_metrics_scorecard.docx</w:t>
            </w:r>
          </w:p>
        </w:tc>
        <w:tc>
          <w:tcPr>
            <w:tcW w:type="dxa" w:w="5256"/>
          </w:tcPr>
          <w:p>
            <w:r/>
            <w:r>
              <w:rPr>
                <w:sz w:val="17"/>
              </w:rPr>
              <w:t>Stage P3 — 44 KPIs across 7 themes (M1..M7) with RED/AMBER/GREEN status and named owner.</w:t>
            </w:r>
          </w:p>
        </w:tc>
      </w:tr>
      <w:tr>
        <w:tc>
          <w:tcPr>
            <w:tcW w:type="dxa" w:w="5256"/>
          </w:tcPr>
          <w:p>
            <w:r/>
            <w:r>
              <w:rPr>
                <w:rFonts w:ascii="Consolas" w:hAnsi="Consolas"/>
                <w:sz w:val="17"/>
              </w:rPr>
              <w:t>methodology_journal.docx</w:t>
            </w:r>
          </w:p>
        </w:tc>
        <w:tc>
          <w:tcPr>
            <w:tcW w:type="dxa" w:w="5256"/>
          </w:tcPr>
          <w:p>
            <w:r/>
            <w:r>
              <w:rPr>
                <w:sz w:val="17"/>
              </w:rPr>
              <w:t>Chronological narrative of the work — every decision, hypothesis, recalibration, and lesson, in the order they happened.</w:t>
            </w:r>
          </w:p>
        </w:tc>
      </w:tr>
    </w:tbl>
    <w:p>
      <w:r>
        <w:rPr>
          <w:b/>
          <w:sz w:val="22"/>
        </w:rPr>
        <w:t>Productization opportunity.</w:t>
      </w:r>
    </w:p>
    <w:p>
      <w:r>
        <w:t xml:space="preserve">This case study is a one-shot audit, but the pipeline is the prototype for a recurring TD surveillance capability. Four framings, ordered by the team that would consume them. The standalone </w:t>
      </w:r>
      <w:r>
        <w:rPr>
          <w:rFonts w:ascii="Consolas" w:hAnsi="Consolas"/>
          <w:sz w:val="18"/>
        </w:rPr>
        <w:t>02_productization_proposal.docx</w:t>
      </w:r>
      <w:r>
        <w:t xml:space="preserve"> expands each one with MVP scope, success metrics, and a recommended sequencing.</w:t>
      </w:r>
    </w:p>
    <w:tbl>
      <w:tblPr>
        <w:tblStyle w:val="LightGrid-Accent1"/>
        <w:tblW w:type="auto" w:w="0"/>
        <w:tblLayout w:type="fixed"/>
        <w:tblLook w:firstColumn="1" w:firstRow="1" w:lastColumn="0" w:lastRow="0" w:noHBand="0" w:noVBand="1" w:val="04A0"/>
      </w:tblPr>
      <w:tblGrid>
        <w:gridCol w:w="2448"/>
        <w:gridCol w:w="2448"/>
        <w:gridCol w:w="3888"/>
        <w:gridCol w:w="2016"/>
      </w:tblGrid>
      <w:tr>
        <w:tc>
          <w:tcPr>
            <w:tcW w:type="dxa" w:w="2628"/>
            <w:shd w:val="clear" w:color="auto" w:fill="1F3A5F"/>
          </w:tcPr>
          <w:p>
            <w:r/>
            <w:r>
              <w:rPr>
                <w:b/>
                <w:color w:val="FFFFFF"/>
                <w:sz w:val="18"/>
              </w:rPr>
              <w:t>Framing</w:t>
            </w:r>
          </w:p>
        </w:tc>
        <w:tc>
          <w:tcPr>
            <w:tcW w:type="dxa" w:w="2628"/>
            <w:shd w:val="clear" w:color="auto" w:fill="1F3A5F"/>
          </w:tcPr>
          <w:p>
            <w:r/>
            <w:r>
              <w:rPr>
                <w:b/>
                <w:color w:val="FFFFFF"/>
                <w:sz w:val="18"/>
              </w:rPr>
              <w:t>Owner / consumer</w:t>
            </w:r>
          </w:p>
        </w:tc>
        <w:tc>
          <w:tcPr>
            <w:tcW w:type="dxa" w:w="2628"/>
            <w:shd w:val="clear" w:color="auto" w:fill="1F3A5F"/>
          </w:tcPr>
          <w:p>
            <w:r/>
            <w:r>
              <w:rPr>
                <w:b/>
                <w:color w:val="FFFFFF"/>
                <w:sz w:val="18"/>
              </w:rPr>
              <w:t>What it does + cost of doing nothing</w:t>
            </w:r>
          </w:p>
        </w:tc>
        <w:tc>
          <w:tcPr>
            <w:tcW w:type="dxa" w:w="2628"/>
            <w:shd w:val="clear" w:color="auto" w:fill="1F3A5F"/>
          </w:tcPr>
          <w:p>
            <w:r/>
            <w:r>
              <w:rPr>
                <w:b/>
                <w:color w:val="FFFFFF"/>
                <w:sz w:val="18"/>
              </w:rPr>
              <w:t>Sequencing</w:t>
            </w:r>
          </w:p>
        </w:tc>
      </w:tr>
      <w:tr>
        <w:tc>
          <w:tcPr>
            <w:tcW w:type="dxa" w:w="2628"/>
          </w:tcPr>
          <w:p>
            <w:r/>
            <w:r>
              <w:rPr>
                <w:b/>
                <w:sz w:val="17"/>
              </w:rPr>
              <w:t>Vendor Feed Onboarding Service</w:t>
            </w:r>
          </w:p>
        </w:tc>
        <w:tc>
          <w:tcPr>
            <w:tcW w:type="dxa" w:w="2628"/>
          </w:tcPr>
          <w:p>
            <w:r/>
            <w:r>
              <w:rPr>
                <w:sz w:val="17"/>
              </w:rPr>
              <w:t>Surveillance Data team</w:t>
            </w:r>
          </w:p>
        </w:tc>
        <w:tc>
          <w:tcPr>
            <w:tcW w:type="dxa" w:w="2628"/>
          </w:tcPr>
          <w:p>
            <w:r/>
            <w:r>
              <w:rPr>
                <w:sz w:val="17"/>
              </w:rPr>
              <w:t>Every new vendor / producer feed runs the pipeline before it can supply production. RAG scorecard greenlights, conditionally onboards, or blocks.</w:t>
            </w:r>
          </w:p>
          <w:p>
            <w:r>
              <w:rPr>
                <w:b/>
                <w:i/>
                <w:sz w:val="16"/>
              </w:rPr>
              <w:t xml:space="preserve">Cost of doing nothing: </w:t>
            </w:r>
            <w:r>
              <w:rPr>
                <w:i/>
                <w:sz w:val="16"/>
              </w:rPr>
              <w:t>Each new feed = 4-6 wks ad-hoc engineering today; defects discovered post-launch trigger surveillance gaps + producer friction.</w:t>
            </w:r>
          </w:p>
        </w:tc>
        <w:tc>
          <w:tcPr>
            <w:tcW w:type="dxa" w:w="2628"/>
          </w:tcPr>
          <w:p>
            <w:r/>
            <w:r>
              <w:rPr>
                <w:b/>
                <w:sz w:val="17"/>
              </w:rPr>
              <w:t>RECOMMENDED -- primary path</w:t>
            </w:r>
          </w:p>
        </w:tc>
      </w:tr>
      <w:tr>
        <w:tc>
          <w:tcPr>
            <w:tcW w:type="dxa" w:w="2628"/>
          </w:tcPr>
          <w:p>
            <w:r/>
            <w:r>
              <w:rPr>
                <w:b/>
                <w:sz w:val="17"/>
              </w:rPr>
              <w:t>Producer Trust Scorecard</w:t>
            </w:r>
          </w:p>
        </w:tc>
        <w:tc>
          <w:tcPr>
            <w:tcW w:type="dxa" w:w="2628"/>
          </w:tcPr>
          <w:p>
            <w:r/>
            <w:r>
              <w:rPr>
                <w:sz w:val="17"/>
              </w:rPr>
              <w:t>Surveillance Data + Producer Mgmt</w:t>
            </w:r>
          </w:p>
        </w:tc>
        <w:tc>
          <w:tcPr>
            <w:tcW w:type="dxa" w:w="2628"/>
          </w:tcPr>
          <w:p>
            <w:r/>
            <w:r>
              <w:rPr>
                <w:sz w:val="17"/>
              </w:rPr>
              <w:t>Recurring re-run of the gate against active feeds. Drift below target triggers a workflow to the producer with named remediation owner.</w:t>
            </w:r>
          </w:p>
          <w:p>
            <w:r>
              <w:rPr>
                <w:b/>
                <w:i/>
                <w:sz w:val="16"/>
              </w:rPr>
              <w:t xml:space="preserve">Cost of doing nothing: </w:t>
            </w:r>
            <w:r>
              <w:rPr>
                <w:i/>
                <w:sz w:val="16"/>
              </w:rPr>
              <w:t>DQ regressions in production go undetected until a surveillance alert fails to fire (JPM-class scenario).</w:t>
            </w:r>
          </w:p>
        </w:tc>
        <w:tc>
          <w:tcPr>
            <w:tcW w:type="dxa" w:w="2628"/>
          </w:tcPr>
          <w:p>
            <w:r/>
            <w:r>
              <w:rPr>
                <w:sz w:val="17"/>
              </w:rPr>
              <w:t>Adjacent -- built on #1</w:t>
            </w:r>
          </w:p>
        </w:tc>
      </w:tr>
      <w:tr>
        <w:tc>
          <w:tcPr>
            <w:tcW w:type="dxa" w:w="2628"/>
          </w:tcPr>
          <w:p>
            <w:r/>
            <w:r>
              <w:rPr>
                <w:b/>
                <w:sz w:val="17"/>
              </w:rPr>
              <w:t>Surveillance Audit Pack</w:t>
            </w:r>
          </w:p>
        </w:tc>
        <w:tc>
          <w:tcPr>
            <w:tcW w:type="dxa" w:w="2628"/>
          </w:tcPr>
          <w:p>
            <w:r/>
            <w:r>
              <w:rPr>
                <w:sz w:val="17"/>
              </w:rPr>
              <w:t>Compliance + Surveillance Data</w:t>
            </w:r>
          </w:p>
        </w:tc>
        <w:tc>
          <w:tcPr>
            <w:tcW w:type="dxa" w:w="2628"/>
          </w:tcPr>
          <w:p>
            <w:r/>
            <w:r>
              <w:rPr>
                <w:sz w:val="17"/>
              </w:rPr>
              <w:t>Date-range bundle of (cleaned data + scorecard + decision register + test pass log). Hand to regulators on demand.</w:t>
            </w:r>
          </w:p>
          <w:p>
            <w:r>
              <w:rPr>
                <w:b/>
                <w:i/>
                <w:sz w:val="16"/>
              </w:rPr>
              <w:t xml:space="preserve">Cost of doing nothing: </w:t>
            </w:r>
            <w:r>
              <w:rPr>
                <w:i/>
                <w:sz w:val="16"/>
              </w:rPr>
              <w:t>Each audit/inquiry is a manual scramble; defensibility today is anecdotal not artefact-based.</w:t>
            </w:r>
          </w:p>
        </w:tc>
        <w:tc>
          <w:tcPr>
            <w:tcW w:type="dxa" w:w="2628"/>
          </w:tcPr>
          <w:p>
            <w:r/>
            <w:r>
              <w:rPr>
                <w:sz w:val="17"/>
              </w:rPr>
              <w:t>Unlocked once #1 ships</w:t>
            </w:r>
          </w:p>
        </w:tc>
      </w:tr>
      <w:tr>
        <w:tc>
          <w:tcPr>
            <w:tcW w:type="dxa" w:w="2628"/>
          </w:tcPr>
          <w:p>
            <w:r/>
            <w:r>
              <w:rPr>
                <w:b/>
                <w:sz w:val="17"/>
              </w:rPr>
              <w:t>Surveillance Data SLOs</w:t>
            </w:r>
          </w:p>
        </w:tc>
        <w:tc>
          <w:tcPr>
            <w:tcW w:type="dxa" w:w="2628"/>
          </w:tcPr>
          <w:p>
            <w:r/>
            <w:r>
              <w:rPr>
                <w:sz w:val="17"/>
              </w:rPr>
              <w:t>Surveillance Data + Platform Engineering</w:t>
            </w:r>
          </w:p>
        </w:tc>
        <w:tc>
          <w:tcPr>
            <w:tcW w:type="dxa" w:w="2628"/>
          </w:tcPr>
          <w:p>
            <w:r/>
            <w:r>
              <w:rPr>
                <w:sz w:val="17"/>
              </w:rPr>
              <w:t>M1-M7 become the first 7 SLOs. Producers sign SLAs. Pages on red. Quarterly review on amber.</w:t>
            </w:r>
          </w:p>
          <w:p>
            <w:r>
              <w:rPr>
                <w:b/>
                <w:i/>
                <w:sz w:val="16"/>
              </w:rPr>
              <w:t xml:space="preserve">Cost of doing nothing: </w:t>
            </w:r>
            <w:r>
              <w:rPr>
                <w:i/>
                <w:sz w:val="16"/>
              </w:rPr>
              <w:t>DQ remains incident-driven; no contractual obligation on producers.</w:t>
            </w:r>
          </w:p>
        </w:tc>
        <w:tc>
          <w:tcPr>
            <w:tcW w:type="dxa" w:w="2628"/>
          </w:tcPr>
          <w:p>
            <w:r/>
            <w:r>
              <w:rPr>
                <w:sz w:val="17"/>
              </w:rPr>
              <w:t>Culture shift -- follows #1+#2</w:t>
            </w:r>
          </w:p>
        </w:tc>
      </w:tr>
    </w:tbl>
    <w:p>
      <w:r>
        <w:rPr>
          <w:b/>
        </w:rPr>
        <w:t xml:space="preserve">Defensibility.  </w:t>
      </w:r>
      <w:r>
        <w:rPr>
          <w:sz w:val="18"/>
        </w:rPr>
        <w:t>Every number in this bundle is reproducible. The analysis/ folder contains a numbered pipeline (01..17) that regenerates every artefact from the raw CSV. Two test scripts (12, 13) assert that the P1 pipeline's invariants hold and that every P2 finding count reproduces from the file. 63 tests, all passing. If a number drifts, a test breaks.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