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Productization Proposal</w:t>
      </w:r>
    </w:p>
    <w:p>
      <w:pPr>
        <w:jc w:val="center"/>
      </w:pPr>
      <w:r>
        <w:rPr>
          <w:i/>
          <w:sz w:val="26"/>
        </w:rPr>
        <w:t>Turning the TDS Trade Surveillance Case Study into a recurring TD capability</w:t>
      </w:r>
    </w:p>
    <w:p>
      <w:pPr>
        <w:jc w:val="center"/>
      </w:pPr>
      <w:r>
        <w:rPr>
          <w:sz w:val="20"/>
        </w:rPr>
        <w:t>Prepared by: Shravan Challa  -  2026-05-13</w:t>
      </w:r>
    </w:p>
    <w:p/>
    <w:p>
      <w:r>
        <w:rPr>
          <w:b/>
        </w:rPr>
        <w:t xml:space="preserve">Why this exists.  </w:t>
      </w:r>
      <w:r>
        <w:t>The case study answered the take-home brief end-to-end: the synthetic feed is now ingestable (96.70% parse rate, zero quarantine), the surveillance-domain defects are surfaced, and 44 KPIs across 7 themes operationalise the findings as recurring measurements. But the bigger value isn't the one-shot audit -- it's the pipeline itself, which is the prototype for a recurring TD surveillance capability that pays back on every new vendor / producer feed onboarded after this one.</w:t>
      </w:r>
    </w:p>
    <w:p>
      <w:r>
        <w:rPr>
          <w:b/>
        </w:rPr>
        <w:t xml:space="preserve">What this document is.  </w:t>
      </w:r>
      <w:r>
        <w:t>Four framings for that capability, ordered by the team that would consume them. For each: the user, the MVP scope, the success metric, the cost of doing nothing, the owner. A recommended sequence for which to build first. A maturity model mapping today's M1-M7 baseline to a 90-day target and a steady state. And a short list of decisions TD leadership would need to confirm before this becomes a programme.</w:t>
      </w:r>
    </w:p>
    <w:p>
      <w:r>
        <w:rPr>
          <w:b/>
        </w:rPr>
        <w:t xml:space="preserve">Strategic anchor.  </w:t>
      </w:r>
      <w:r>
        <w:t>The 2024 JPMorgan / Fed-OCC trade-surveillance enforcement is the case the brief named. Post-enforcement, every Tier 1 bank's surveillance team has board-level pressure to move data quality from 'incident-driven postmortem' to 'forward-looking, defensible, contractual'. This proposal is one path to that.</w:t>
      </w:r>
    </w:p>
    <w:p>
      <w:r>
        <w:br w:type="page"/>
      </w:r>
    </w:p>
    <w:p>
      <w:pPr>
        <w:pStyle w:val="Heading1"/>
      </w:pPr>
      <w:r>
        <w:rPr>
          <w:color w:val="1F3A5F"/>
        </w:rPr>
        <w:t>Recommendation at a glance</w:t>
      </w:r>
    </w:p>
    <w:p>
      <w:r>
        <w:rPr>
          <w:b w:val="0"/>
          <w:i/>
          <w:sz w:val="20"/>
        </w:rPr>
        <w:t>Build #1 first. #2 follows naturally on the same infrastructure. #3 unlocks any time after #1 ships. #4 is the cultural shift that lands once #1 and #2 are operational.</w:t>
      </w:r>
    </w:p>
    <w:tbl>
      <w:tblPr>
        <w:tblStyle w:val="LightGrid-Accent1"/>
        <w:tblW w:type="auto" w:w="0"/>
        <w:tblLayout w:type="fixed"/>
        <w:tblLook w:firstColumn="1" w:firstRow="1" w:lastColumn="0" w:lastRow="0" w:noHBand="0" w:noVBand="1" w:val="04A0"/>
      </w:tblPr>
      <w:tblGrid>
        <w:gridCol w:w="720"/>
        <w:gridCol w:w="3744"/>
        <w:gridCol w:w="2016"/>
        <w:gridCol w:w="4176"/>
      </w:tblGrid>
      <w:tr>
        <w:tc>
          <w:tcPr>
            <w:tcW w:type="dxa" w:w="2556"/>
            <w:shd w:val="clear" w:color="auto" w:fill="1F3A5F"/>
          </w:tcPr>
          <w:p>
            <w:r/>
            <w:r>
              <w:rPr>
                <w:b/>
                <w:color w:val="FFFFFF"/>
                <w:sz w:val="18"/>
              </w:rPr>
              <w:t>#</w:t>
            </w:r>
          </w:p>
        </w:tc>
        <w:tc>
          <w:tcPr>
            <w:tcW w:type="dxa" w:w="2556"/>
            <w:shd w:val="clear" w:color="auto" w:fill="1F3A5F"/>
          </w:tcPr>
          <w:p>
            <w:r/>
            <w:r>
              <w:rPr>
                <w:b/>
                <w:color w:val="FFFFFF"/>
                <w:sz w:val="18"/>
              </w:rPr>
              <w:t>Framing</w:t>
            </w:r>
          </w:p>
        </w:tc>
        <w:tc>
          <w:tcPr>
            <w:tcW w:type="dxa" w:w="2556"/>
            <w:shd w:val="clear" w:color="auto" w:fill="1F3A5F"/>
          </w:tcPr>
          <w:p>
            <w:r/>
            <w:r>
              <w:rPr>
                <w:b/>
                <w:color w:val="FFFFFF"/>
                <w:sz w:val="18"/>
              </w:rPr>
              <w:t>Sequencing</w:t>
            </w:r>
          </w:p>
        </w:tc>
        <w:tc>
          <w:tcPr>
            <w:tcW w:type="dxa" w:w="2556"/>
            <w:shd w:val="clear" w:color="auto" w:fill="1F3A5F"/>
          </w:tcPr>
          <w:p>
            <w:r/>
            <w:r>
              <w:rPr>
                <w:b/>
                <w:color w:val="FFFFFF"/>
                <w:sz w:val="18"/>
              </w:rPr>
              <w:t>One-line value</w:t>
            </w:r>
          </w:p>
        </w:tc>
      </w:tr>
      <w:tr>
        <w:tc>
          <w:tcPr>
            <w:tcW w:type="dxa" w:w="2556"/>
          </w:tcPr>
          <w:p>
            <w:r/>
            <w:r>
              <w:rPr>
                <w:b/>
                <w:sz w:val="22"/>
              </w:rPr>
              <w:t>1</w:t>
            </w:r>
          </w:p>
        </w:tc>
        <w:tc>
          <w:tcPr>
            <w:tcW w:type="dxa" w:w="2556"/>
          </w:tcPr>
          <w:p>
            <w:r/>
            <w:r>
              <w:rPr>
                <w:b/>
                <w:sz w:val="19"/>
              </w:rPr>
              <w:t>Vendor Feed Onboarding Service</w:t>
            </w:r>
          </w:p>
        </w:tc>
        <w:tc>
          <w:tcPr>
            <w:tcW w:type="dxa" w:w="2556"/>
          </w:tcPr>
          <w:p>
            <w:r/>
            <w:r>
              <w:rPr>
                <w:b/>
                <w:sz w:val="17"/>
              </w:rPr>
              <w:t>RECOMMENDED -- start here</w:t>
            </w:r>
          </w:p>
        </w:tc>
        <w:tc>
          <w:tcPr>
            <w:tcW w:type="dxa" w:w="2556"/>
          </w:tcPr>
          <w:p>
            <w:r/>
            <w:r>
              <w:rPr>
                <w:sz w:val="17"/>
              </w:rPr>
              <w:t>Cuts feed-onboarding time from 4-6 weeks to days; blocks defects pre-prod.</w:t>
            </w:r>
          </w:p>
        </w:tc>
      </w:tr>
      <w:tr>
        <w:tc>
          <w:tcPr>
            <w:tcW w:type="dxa" w:w="2556"/>
          </w:tcPr>
          <w:p>
            <w:r/>
            <w:r>
              <w:rPr>
                <w:b/>
                <w:sz w:val="22"/>
              </w:rPr>
              <w:t>2</w:t>
            </w:r>
          </w:p>
        </w:tc>
        <w:tc>
          <w:tcPr>
            <w:tcW w:type="dxa" w:w="2556"/>
          </w:tcPr>
          <w:p>
            <w:r/>
            <w:r>
              <w:rPr>
                <w:b/>
                <w:sz w:val="19"/>
              </w:rPr>
              <w:t>Producer Trust Scorecard</w:t>
            </w:r>
          </w:p>
        </w:tc>
        <w:tc>
          <w:tcPr>
            <w:tcW w:type="dxa" w:w="2556"/>
          </w:tcPr>
          <w:p>
            <w:r/>
            <w:r>
              <w:rPr>
                <w:sz w:val="17"/>
              </w:rPr>
              <w:t>Quarter 2 -- on top of #1</w:t>
            </w:r>
          </w:p>
        </w:tc>
        <w:tc>
          <w:tcPr>
            <w:tcW w:type="dxa" w:w="2556"/>
          </w:tcPr>
          <w:p>
            <w:r/>
            <w:r>
              <w:rPr>
                <w:sz w:val="17"/>
              </w:rPr>
              <w:t>Catches DQ regression in active feeds before a surveillance alert misfires.</w:t>
            </w:r>
          </w:p>
        </w:tc>
      </w:tr>
      <w:tr>
        <w:tc>
          <w:tcPr>
            <w:tcW w:type="dxa" w:w="2556"/>
          </w:tcPr>
          <w:p>
            <w:r/>
            <w:r>
              <w:rPr>
                <w:b/>
                <w:sz w:val="22"/>
              </w:rPr>
              <w:t>3</w:t>
            </w:r>
          </w:p>
        </w:tc>
        <w:tc>
          <w:tcPr>
            <w:tcW w:type="dxa" w:w="2556"/>
          </w:tcPr>
          <w:p>
            <w:r/>
            <w:r>
              <w:rPr>
                <w:b/>
                <w:sz w:val="19"/>
              </w:rPr>
              <w:t>Surveillance Audit Pack</w:t>
            </w:r>
          </w:p>
        </w:tc>
        <w:tc>
          <w:tcPr>
            <w:tcW w:type="dxa" w:w="2556"/>
          </w:tcPr>
          <w:p>
            <w:r/>
            <w:r>
              <w:rPr>
                <w:sz w:val="17"/>
              </w:rPr>
              <w:t>Unlocked once #1 ships</w:t>
            </w:r>
          </w:p>
        </w:tc>
        <w:tc>
          <w:tcPr>
            <w:tcW w:type="dxa" w:w="2556"/>
          </w:tcPr>
          <w:p>
            <w:r/>
            <w:r>
              <w:rPr>
                <w:sz w:val="17"/>
              </w:rPr>
              <w:t>Defensibility-as-a-deliverable for regulator inquiries and internal compliance reviews.</w:t>
            </w:r>
          </w:p>
        </w:tc>
      </w:tr>
      <w:tr>
        <w:tc>
          <w:tcPr>
            <w:tcW w:type="dxa" w:w="2556"/>
          </w:tcPr>
          <w:p>
            <w:r/>
            <w:r>
              <w:rPr>
                <w:b/>
                <w:sz w:val="22"/>
              </w:rPr>
              <w:t>4</w:t>
            </w:r>
          </w:p>
        </w:tc>
        <w:tc>
          <w:tcPr>
            <w:tcW w:type="dxa" w:w="2556"/>
          </w:tcPr>
          <w:p>
            <w:r/>
            <w:r>
              <w:rPr>
                <w:b/>
                <w:sz w:val="19"/>
              </w:rPr>
              <w:t>Surveillance Data SLOs</w:t>
            </w:r>
          </w:p>
        </w:tc>
        <w:tc>
          <w:tcPr>
            <w:tcW w:type="dxa" w:w="2556"/>
          </w:tcPr>
          <w:p>
            <w:r/>
            <w:r>
              <w:rPr>
                <w:sz w:val="17"/>
              </w:rPr>
              <w:t>Year 2 -- culture shift</w:t>
            </w:r>
          </w:p>
        </w:tc>
        <w:tc>
          <w:tcPr>
            <w:tcW w:type="dxa" w:w="2556"/>
          </w:tcPr>
          <w:p>
            <w:r/>
            <w:r>
              <w:rPr>
                <w:sz w:val="17"/>
              </w:rPr>
              <w:t>Moves DQ from incident-driven postmortem to contractual, signed by producers.</w:t>
            </w:r>
          </w:p>
        </w:tc>
      </w:tr>
    </w:tbl>
    <w:p/>
    <w:p>
      <w:pPr>
        <w:pStyle w:val="Heading1"/>
      </w:pPr>
      <w:r>
        <w:rPr>
          <w:color w:val="1F3A5F"/>
        </w:rPr>
        <w:t>The four framings</w:t>
      </w:r>
    </w:p>
    <w:p>
      <w:pPr>
        <w:spacing w:before="160"/>
      </w:pPr>
      <w:r>
        <w:rPr>
          <w:b/>
          <w:color w:val="1F3A5F"/>
          <w:sz w:val="26"/>
        </w:rPr>
        <w:t>#1.  Vendor Feed Onboarding Service</w:t>
      </w:r>
      <w:r>
        <w:rPr>
          <w:b/>
          <w:color w:val="27AE60"/>
          <w:sz w:val="18"/>
        </w:rPr>
        <w:t xml:space="preserve">    RECOMMENDED -- BUILD FIRST</w:t>
      </w:r>
    </w:p>
    <w:p>
      <w:r>
        <w:rPr>
          <w:b/>
        </w:rPr>
        <w:t xml:space="preserve">Pitch.  </w:t>
      </w:r>
      <w:r>
        <w:t>Every new vendor or producer feed runs through this pipeline before it can supply production surveillance. The output is a RAG scorecard that greenlights, conditionally onboards, or blocks the feed. Producers receive a remediation list with named owners and SLAs. Same artefact, parameterized per feed.</w:t>
      </w:r>
    </w:p>
    <w:tbl>
      <w:tblPr>
        <w:tblStyle w:val="LightGrid-Accent1"/>
        <w:tblW w:type="auto" w:w="0"/>
        <w:tblLayout w:type="fixed"/>
        <w:tblLook w:firstColumn="1" w:firstRow="1" w:lastColumn="0" w:lastRow="0" w:noHBand="0" w:noVBand="1" w:val="04A0"/>
      </w:tblPr>
      <w:tblGrid>
        <w:gridCol w:w="2448"/>
        <w:gridCol w:w="8208"/>
      </w:tblGrid>
      <w:tr>
        <w:tc>
          <w:tcPr>
            <w:tcW w:type="dxa" w:w="5112"/>
          </w:tcPr>
          <w:p>
            <w:r/>
            <w:r>
              <w:rPr>
                <w:b/>
                <w:sz w:val="18"/>
              </w:rPr>
              <w:t>User</w:t>
            </w:r>
          </w:p>
        </w:tc>
        <w:tc>
          <w:tcPr>
            <w:tcW w:type="dxa" w:w="5112"/>
          </w:tcPr>
          <w:p>
            <w:r/>
            <w:r>
              <w:rPr>
                <w:sz w:val="18"/>
              </w:rPr>
              <w:t>Surveillance Data team -- specifically the engineer or analyst who today gets handed a new feed and has to figure out, ad-hoc, whether it's safe to wire up.</w:t>
            </w:r>
          </w:p>
        </w:tc>
      </w:tr>
      <w:tr>
        <w:tc>
          <w:tcPr>
            <w:tcW w:type="dxa" w:w="5112"/>
          </w:tcPr>
          <w:p>
            <w:r/>
            <w:r>
              <w:rPr>
                <w:b/>
                <w:sz w:val="18"/>
              </w:rPr>
              <w:t>Job to be done</w:t>
            </w:r>
          </w:p>
        </w:tc>
        <w:tc>
          <w:tcPr>
            <w:tcW w:type="dxa" w:w="5112"/>
          </w:tcPr>
          <w:p>
            <w:r/>
            <w:r>
              <w:rPr>
                <w:sz w:val="18"/>
              </w:rPr>
              <w:t>When a new feed lands, decide quickly and defensibly whether to ingest it, and if not, hand the producer a precise list of what to fix.</w:t>
            </w:r>
          </w:p>
        </w:tc>
      </w:tr>
      <w:tr>
        <w:tc>
          <w:tcPr>
            <w:tcW w:type="dxa" w:w="5112"/>
          </w:tcPr>
          <w:p>
            <w:r/>
            <w:r>
              <w:rPr>
                <w:b/>
                <w:sz w:val="18"/>
              </w:rPr>
              <w:t>MVP scope (90 days)</w:t>
            </w:r>
          </w:p>
        </w:tc>
        <w:tc>
          <w:tcPr>
            <w:tcW w:type="dxa" w:w="5112"/>
          </w:tcPr>
          <w:p>
            <w:r/>
            <w:r>
              <w:rPr>
                <w:sz w:val="18"/>
              </w:rPr>
              <w:t>(a) Pipeline parameterized to run on any CSV/feed (currently hardcoded to one). (b) Onboarding gate UI: drop a file, get a scorecard back in &lt;1 hour. (c) Producer remediation report auto-generated from the M1-M7 RED metrics. (d) Decision log: greenlight / conditional / blocked, with named approver.</w:t>
            </w:r>
          </w:p>
        </w:tc>
      </w:tr>
      <w:tr>
        <w:tc>
          <w:tcPr>
            <w:tcW w:type="dxa" w:w="5112"/>
          </w:tcPr>
          <w:p>
            <w:r/>
            <w:r>
              <w:rPr>
                <w:b/>
                <w:sz w:val="18"/>
              </w:rPr>
              <w:t>Success metric</w:t>
            </w:r>
          </w:p>
        </w:tc>
        <w:tc>
          <w:tcPr>
            <w:tcW w:type="dxa" w:w="5112"/>
          </w:tcPr>
          <w:p>
            <w:r/>
            <w:r>
              <w:rPr>
                <w:sz w:val="18"/>
              </w:rPr>
              <w:t>Mean time-to-feed-onboarding (target: &lt;=3 business days, vs current 4-6 weeks). Pre-prod blocked defects per feed (count). Surveillance-rule eligibility on day 1 of production (target: &gt;=95% on critical themes M1, M3, M6).</w:t>
            </w:r>
          </w:p>
        </w:tc>
      </w:tr>
      <w:tr>
        <w:tc>
          <w:tcPr>
            <w:tcW w:type="dxa" w:w="5112"/>
          </w:tcPr>
          <w:p>
            <w:r/>
            <w:r>
              <w:rPr>
                <w:b/>
                <w:sz w:val="18"/>
              </w:rPr>
              <w:t>Cost of doing nothing</w:t>
            </w:r>
          </w:p>
        </w:tc>
        <w:tc>
          <w:tcPr>
            <w:tcW w:type="dxa" w:w="5112"/>
          </w:tcPr>
          <w:p>
            <w:r/>
            <w:r>
              <w:rPr>
                <w:sz w:val="18"/>
              </w:rPr>
              <w:t>Each new vendor onboarding today costs 4-6 weeks of ad-hoc engineering. Defects discovered post-launch trigger surveillance gaps (JPM-class exposure) and producer-relationship friction (renegotiating after the contract is signed is much harder than blocking before).</w:t>
            </w:r>
          </w:p>
        </w:tc>
      </w:tr>
      <w:tr>
        <w:tc>
          <w:tcPr>
            <w:tcW w:type="dxa" w:w="5112"/>
          </w:tcPr>
          <w:p>
            <w:r/>
            <w:r>
              <w:rPr>
                <w:b/>
                <w:sz w:val="18"/>
              </w:rPr>
              <w:t>Owner / build team</w:t>
            </w:r>
          </w:p>
        </w:tc>
        <w:tc>
          <w:tcPr>
            <w:tcW w:type="dxa" w:w="5112"/>
          </w:tcPr>
          <w:p>
            <w:r/>
            <w:r>
              <w:rPr>
                <w:sz w:val="18"/>
              </w:rPr>
              <w:t>Surveillance Data team builds and operates. Estimated 1 mid-level data engineer + 0.25 PM, 90 days to MVP.</w:t>
            </w:r>
          </w:p>
        </w:tc>
      </w:tr>
      <w:tr>
        <w:tc>
          <w:tcPr>
            <w:tcW w:type="dxa" w:w="5112"/>
          </w:tcPr>
          <w:p>
            <w:r/>
            <w:r>
              <w:rPr>
                <w:b/>
                <w:sz w:val="18"/>
              </w:rPr>
              <w:t>Consumer</w:t>
            </w:r>
          </w:p>
        </w:tc>
        <w:tc>
          <w:tcPr>
            <w:tcW w:type="dxa" w:w="5112"/>
          </w:tcPr>
          <w:p>
            <w:r/>
            <w:r>
              <w:rPr>
                <w:sz w:val="18"/>
              </w:rPr>
              <w:t>Producer-management function (hands the report back to vendors); Surveillance Operations (the downstream consumer of greenlit feeds).</w:t>
            </w:r>
          </w:p>
        </w:tc>
      </w:tr>
      <w:tr>
        <w:tc>
          <w:tcPr>
            <w:tcW w:type="dxa" w:w="5112"/>
          </w:tcPr>
          <w:p>
            <w:r/>
            <w:r>
              <w:rPr>
                <w:b/>
                <w:sz w:val="18"/>
              </w:rPr>
              <w:t>Reuses from case study</w:t>
            </w:r>
          </w:p>
        </w:tc>
        <w:tc>
          <w:tcPr>
            <w:tcW w:type="dxa" w:w="5112"/>
          </w:tcPr>
          <w:p>
            <w:r/>
            <w:r>
              <w:rPr>
                <w:sz w:val="18"/>
              </w:rPr>
              <w:t>100% of the case-study pipeline (analysis/01..16). The capability IS the pipeline, productionised. The 63 reproducibility tests become the regression suite for the gate itself.</w:t>
            </w:r>
          </w:p>
        </w:tc>
      </w:tr>
    </w:tbl>
    <w:p/>
    <w:p>
      <w:pPr>
        <w:spacing w:before="160"/>
      </w:pPr>
      <w:r>
        <w:rPr>
          <w:b/>
          <w:color w:val="1F3A5F"/>
          <w:sz w:val="26"/>
        </w:rPr>
        <w:t>#2.  Producer Trust Scorecard</w:t>
      </w:r>
    </w:p>
    <w:p>
      <w:r>
        <w:rPr>
          <w:b/>
        </w:rPr>
        <w:t xml:space="preserve">Pitch.  </w:t>
      </w:r>
      <w:r>
        <w:t>Recurring re-run of the onboarding gate against active production feeds. Trends every M1-M7 KPI per producer over time. Drift below target triggers a workflow to the producer with a named remediation owner and a date. Same play as the candidate's S1 story (Data Governance Hub: 60% reduction in non-compliant transfers via dashboard + outreach workflow), applied to surveillance data.</w:t>
      </w:r>
    </w:p>
    <w:tbl>
      <w:tblPr>
        <w:tblStyle w:val="LightGrid-Accent1"/>
        <w:tblW w:type="auto" w:w="0"/>
        <w:tblLayout w:type="fixed"/>
        <w:tblLook w:firstColumn="1" w:firstRow="1" w:lastColumn="0" w:lastRow="0" w:noHBand="0" w:noVBand="1" w:val="04A0"/>
      </w:tblPr>
      <w:tblGrid>
        <w:gridCol w:w="2448"/>
        <w:gridCol w:w="8208"/>
      </w:tblGrid>
      <w:tr>
        <w:tc>
          <w:tcPr>
            <w:tcW w:type="dxa" w:w="5112"/>
          </w:tcPr>
          <w:p>
            <w:r/>
            <w:r>
              <w:rPr>
                <w:b/>
                <w:sz w:val="18"/>
              </w:rPr>
              <w:t>User</w:t>
            </w:r>
          </w:p>
        </w:tc>
        <w:tc>
          <w:tcPr>
            <w:tcW w:type="dxa" w:w="5112"/>
          </w:tcPr>
          <w:p>
            <w:r/>
            <w:r>
              <w:rPr>
                <w:sz w:val="18"/>
              </w:rPr>
              <w:t>Producer-management lead at TD Securities -- the person whose job is keeping vendor feeds healthy in production, not just at onboarding.</w:t>
            </w:r>
          </w:p>
        </w:tc>
      </w:tr>
      <w:tr>
        <w:tc>
          <w:tcPr>
            <w:tcW w:type="dxa" w:w="5112"/>
          </w:tcPr>
          <w:p>
            <w:r/>
            <w:r>
              <w:rPr>
                <w:b/>
                <w:sz w:val="18"/>
              </w:rPr>
              <w:t>Job to be done</w:t>
            </w:r>
          </w:p>
        </w:tc>
        <w:tc>
          <w:tcPr>
            <w:tcW w:type="dxa" w:w="5112"/>
          </w:tcPr>
          <w:p>
            <w:r/>
            <w:r>
              <w:rPr>
                <w:sz w:val="18"/>
              </w:rPr>
              <w:t>Detect DQ regressions in active feeds before a surveillance alert misfires. Hold producers accountable on a recurring cadence with evidence, not anecdote.</w:t>
            </w:r>
          </w:p>
        </w:tc>
      </w:tr>
      <w:tr>
        <w:tc>
          <w:tcPr>
            <w:tcW w:type="dxa" w:w="5112"/>
          </w:tcPr>
          <w:p>
            <w:r/>
            <w:r>
              <w:rPr>
                <w:b/>
                <w:sz w:val="18"/>
              </w:rPr>
              <w:t>MVP scope (90 days)</w:t>
            </w:r>
          </w:p>
        </w:tc>
        <w:tc>
          <w:tcPr>
            <w:tcW w:type="dxa" w:w="5112"/>
          </w:tcPr>
          <w:p>
            <w:r/>
            <w:r>
              <w:rPr>
                <w:sz w:val="18"/>
              </w:rPr>
              <w:t>(a) Scheduled (weekly) re-run of #1's gate against all active feeds. (b) Per-producer trend dashboards on the M1-M7 scorecard. (c) Automated outreach workflow when any KPI flips RED (Power Automate or equivalent). (d) Producer-facing portal showing their feed's current scorecard.</w:t>
            </w:r>
          </w:p>
        </w:tc>
      </w:tr>
      <w:tr>
        <w:tc>
          <w:tcPr>
            <w:tcW w:type="dxa" w:w="5112"/>
          </w:tcPr>
          <w:p>
            <w:r/>
            <w:r>
              <w:rPr>
                <w:b/>
                <w:sz w:val="18"/>
              </w:rPr>
              <w:t>Success metric</w:t>
            </w:r>
          </w:p>
        </w:tc>
        <w:tc>
          <w:tcPr>
            <w:tcW w:type="dxa" w:w="5112"/>
          </w:tcPr>
          <w:p>
            <w:r/>
            <w:r>
              <w:rPr>
                <w:sz w:val="18"/>
              </w:rPr>
              <w:t>Mean time to producer-acknowledged remediation. Percentage of active producers with no AMBER/RED metrics for 90+ days (target: 80%). Number of surveillance alerts that misfire because of upstream DQ drift (target: zero).</w:t>
            </w:r>
          </w:p>
        </w:tc>
      </w:tr>
      <w:tr>
        <w:tc>
          <w:tcPr>
            <w:tcW w:type="dxa" w:w="5112"/>
          </w:tcPr>
          <w:p>
            <w:r/>
            <w:r>
              <w:rPr>
                <w:b/>
                <w:sz w:val="18"/>
              </w:rPr>
              <w:t>Cost of doing nothing</w:t>
            </w:r>
          </w:p>
        </w:tc>
        <w:tc>
          <w:tcPr>
            <w:tcW w:type="dxa" w:w="5112"/>
          </w:tcPr>
          <w:p>
            <w:r/>
            <w:r>
              <w:rPr>
                <w:sz w:val="18"/>
              </w:rPr>
              <w:t>DQ regressions in production go undetected until a surveillance alert fails to fire. That's the JPM-class scenario: the system never received the data it needed to surveille, and nobody noticed until the regulator did.</w:t>
            </w:r>
          </w:p>
        </w:tc>
      </w:tr>
      <w:tr>
        <w:tc>
          <w:tcPr>
            <w:tcW w:type="dxa" w:w="5112"/>
          </w:tcPr>
          <w:p>
            <w:r/>
            <w:r>
              <w:rPr>
                <w:b/>
                <w:sz w:val="18"/>
              </w:rPr>
              <w:t>Owner / build team</w:t>
            </w:r>
          </w:p>
        </w:tc>
        <w:tc>
          <w:tcPr>
            <w:tcW w:type="dxa" w:w="5112"/>
          </w:tcPr>
          <w:p>
            <w:r/>
            <w:r>
              <w:rPr>
                <w:sz w:val="18"/>
              </w:rPr>
              <w:t>Surveillance Data team operates the platform; Producer Mgmt owns the producer-facing relationship and the outreach workflow.</w:t>
            </w:r>
          </w:p>
        </w:tc>
      </w:tr>
      <w:tr>
        <w:tc>
          <w:tcPr>
            <w:tcW w:type="dxa" w:w="5112"/>
          </w:tcPr>
          <w:p>
            <w:r/>
            <w:r>
              <w:rPr>
                <w:b/>
                <w:sz w:val="18"/>
              </w:rPr>
              <w:t>Consumer</w:t>
            </w:r>
          </w:p>
        </w:tc>
        <w:tc>
          <w:tcPr>
            <w:tcW w:type="dxa" w:w="5112"/>
          </w:tcPr>
          <w:p>
            <w:r/>
            <w:r>
              <w:rPr>
                <w:sz w:val="18"/>
              </w:rPr>
              <w:t>Producer Management; Surveillance Operations; Internal Audit.</w:t>
            </w:r>
          </w:p>
        </w:tc>
      </w:tr>
      <w:tr>
        <w:tc>
          <w:tcPr>
            <w:tcW w:type="dxa" w:w="5112"/>
          </w:tcPr>
          <w:p>
            <w:r/>
            <w:r>
              <w:rPr>
                <w:b/>
                <w:sz w:val="18"/>
              </w:rPr>
              <w:t>Reuses from case study</w:t>
            </w:r>
          </w:p>
        </w:tc>
        <w:tc>
          <w:tcPr>
            <w:tcW w:type="dxa" w:w="5112"/>
          </w:tcPr>
          <w:p>
            <w:r/>
            <w:r>
              <w:rPr>
                <w:sz w:val="18"/>
              </w:rPr>
              <w:t>100% of #1's infrastructure plus a scheduler and a workflow layer. The dashboard work mirrors the candidate's existing TD Power BI experience (S1, S2 stories).</w:t>
            </w:r>
          </w:p>
        </w:tc>
      </w:tr>
    </w:tbl>
    <w:p/>
    <w:p>
      <w:pPr>
        <w:spacing w:before="160"/>
      </w:pPr>
      <w:r>
        <w:rPr>
          <w:b/>
          <w:color w:val="1F3A5F"/>
          <w:sz w:val="26"/>
        </w:rPr>
        <w:t>#3.  Surveillance Audit Pack</w:t>
      </w:r>
    </w:p>
    <w:p>
      <w:r>
        <w:rPr>
          <w:b/>
        </w:rPr>
        <w:t xml:space="preserve">Pitch.  </w:t>
      </w:r>
      <w:r>
        <w:t>On-demand bundle of (cleaned data + RAG scorecard + decision register + test pass log + methodology journal) for any date range. Hand it to regulators on inquiry, internal audit on review, or the board on quarterly reporting. Defensibility-as-a-deliverable, not defensibility-as-a-narrative.</w:t>
      </w:r>
    </w:p>
    <w:tbl>
      <w:tblPr>
        <w:tblStyle w:val="LightGrid-Accent1"/>
        <w:tblW w:type="auto" w:w="0"/>
        <w:tblLayout w:type="fixed"/>
        <w:tblLook w:firstColumn="1" w:firstRow="1" w:lastColumn="0" w:lastRow="0" w:noHBand="0" w:noVBand="1" w:val="04A0"/>
      </w:tblPr>
      <w:tblGrid>
        <w:gridCol w:w="2448"/>
        <w:gridCol w:w="8208"/>
      </w:tblGrid>
      <w:tr>
        <w:tc>
          <w:tcPr>
            <w:tcW w:type="dxa" w:w="5112"/>
          </w:tcPr>
          <w:p>
            <w:r/>
            <w:r>
              <w:rPr>
                <w:b/>
                <w:sz w:val="18"/>
              </w:rPr>
              <w:t>User</w:t>
            </w:r>
          </w:p>
        </w:tc>
        <w:tc>
          <w:tcPr>
            <w:tcW w:type="dxa" w:w="5112"/>
          </w:tcPr>
          <w:p>
            <w:r/>
            <w:r>
              <w:rPr>
                <w:sz w:val="18"/>
              </w:rPr>
              <w:t>Compliance / Internal Audit lead handling a regulator inquiry; or the surveillance team itself when a post-incident review is requested.</w:t>
            </w:r>
          </w:p>
        </w:tc>
      </w:tr>
      <w:tr>
        <w:tc>
          <w:tcPr>
            <w:tcW w:type="dxa" w:w="5112"/>
          </w:tcPr>
          <w:p>
            <w:r/>
            <w:r>
              <w:rPr>
                <w:b/>
                <w:sz w:val="18"/>
              </w:rPr>
              <w:t>Job to be done</w:t>
            </w:r>
          </w:p>
        </w:tc>
        <w:tc>
          <w:tcPr>
            <w:tcW w:type="dxa" w:w="5112"/>
          </w:tcPr>
          <w:p>
            <w:r/>
            <w:r>
              <w:rPr>
                <w:sz w:val="18"/>
              </w:rPr>
              <w:t>Produce a defensible, signed, point-in-time evidence pack for any historical surveillance feed, fast.</w:t>
            </w:r>
          </w:p>
        </w:tc>
      </w:tr>
      <w:tr>
        <w:tc>
          <w:tcPr>
            <w:tcW w:type="dxa" w:w="5112"/>
          </w:tcPr>
          <w:p>
            <w:r/>
            <w:r>
              <w:rPr>
                <w:b/>
                <w:sz w:val="18"/>
              </w:rPr>
              <w:t>MVP scope (90 days)</w:t>
            </w:r>
          </w:p>
        </w:tc>
        <w:tc>
          <w:tcPr>
            <w:tcW w:type="dxa" w:w="5112"/>
          </w:tcPr>
          <w:p>
            <w:r/>
            <w:r>
              <w:rPr>
                <w:sz w:val="18"/>
              </w:rPr>
              <w:t>(a) Date-range parameterization on the existing pipeline. (b) Single-PDF rendering of the bundle (cover + scorecard + supporting docs). (c) Sign-off workflow: surveillance lead signs the bundle as 'this is what the data looked like on date X'. (d) Archive: signed bundles are immutable + queryable by date / feed / producer.</w:t>
            </w:r>
          </w:p>
        </w:tc>
      </w:tr>
      <w:tr>
        <w:tc>
          <w:tcPr>
            <w:tcW w:type="dxa" w:w="5112"/>
          </w:tcPr>
          <w:p>
            <w:r/>
            <w:r>
              <w:rPr>
                <w:b/>
                <w:sz w:val="18"/>
              </w:rPr>
              <w:t>Success metric</w:t>
            </w:r>
          </w:p>
        </w:tc>
        <w:tc>
          <w:tcPr>
            <w:tcW w:type="dxa" w:w="5112"/>
          </w:tcPr>
          <w:p>
            <w:r/>
            <w:r>
              <w:rPr>
                <w:sz w:val="18"/>
              </w:rPr>
              <w:t>Time from inquiry to bundle-delivered (target: &lt;=1 business day). Re-request rate for additional evidence after delivery (target: zero -- the first bundle is complete). Coverage: number of historical feeds for which a bundle can be produced on demand.</w:t>
            </w:r>
          </w:p>
        </w:tc>
      </w:tr>
      <w:tr>
        <w:tc>
          <w:tcPr>
            <w:tcW w:type="dxa" w:w="5112"/>
          </w:tcPr>
          <w:p>
            <w:r/>
            <w:r>
              <w:rPr>
                <w:b/>
                <w:sz w:val="18"/>
              </w:rPr>
              <w:t>Cost of doing nothing</w:t>
            </w:r>
          </w:p>
        </w:tc>
        <w:tc>
          <w:tcPr>
            <w:tcW w:type="dxa" w:w="5112"/>
          </w:tcPr>
          <w:p>
            <w:r/>
            <w:r>
              <w:rPr>
                <w:sz w:val="18"/>
              </w:rPr>
              <w:t>Each audit / inquiry today is a manual scramble. Engineers reverse-engineer what the data looked like at a past point in time; defensibility is anecdotal not artefact-based. Slow + uncertain when the regulator is on the clock.</w:t>
            </w:r>
          </w:p>
        </w:tc>
      </w:tr>
      <w:tr>
        <w:tc>
          <w:tcPr>
            <w:tcW w:type="dxa" w:w="5112"/>
          </w:tcPr>
          <w:p>
            <w:r/>
            <w:r>
              <w:rPr>
                <w:b/>
                <w:sz w:val="18"/>
              </w:rPr>
              <w:t>Owner / build team</w:t>
            </w:r>
          </w:p>
        </w:tc>
        <w:tc>
          <w:tcPr>
            <w:tcW w:type="dxa" w:w="5112"/>
          </w:tcPr>
          <w:p>
            <w:r/>
            <w:r>
              <w:rPr>
                <w:sz w:val="18"/>
              </w:rPr>
              <w:t>Compliance + Surveillance Data joint. Compliance owns the workflow + sign-off; Surveillance Data owns the pipeline + archive.</w:t>
            </w:r>
          </w:p>
        </w:tc>
      </w:tr>
      <w:tr>
        <w:tc>
          <w:tcPr>
            <w:tcW w:type="dxa" w:w="5112"/>
          </w:tcPr>
          <w:p>
            <w:r/>
            <w:r>
              <w:rPr>
                <w:b/>
                <w:sz w:val="18"/>
              </w:rPr>
              <w:t>Consumer</w:t>
            </w:r>
          </w:p>
        </w:tc>
        <w:tc>
          <w:tcPr>
            <w:tcW w:type="dxa" w:w="5112"/>
          </w:tcPr>
          <w:p>
            <w:r/>
            <w:r>
              <w:rPr>
                <w:sz w:val="18"/>
              </w:rPr>
              <w:t>External regulators (OSFI, IIROC, SEC depending on jurisdiction); internal audit; board / risk committee.</w:t>
            </w:r>
          </w:p>
        </w:tc>
      </w:tr>
      <w:tr>
        <w:tc>
          <w:tcPr>
            <w:tcW w:type="dxa" w:w="5112"/>
          </w:tcPr>
          <w:p>
            <w:r/>
            <w:r>
              <w:rPr>
                <w:b/>
                <w:sz w:val="18"/>
              </w:rPr>
              <w:t>Reuses from case study</w:t>
            </w:r>
          </w:p>
        </w:tc>
        <w:tc>
          <w:tcPr>
            <w:tcW w:type="dxa" w:w="5112"/>
          </w:tcPr>
          <w:p>
            <w:r/>
            <w:r>
              <w:rPr>
                <w:sz w:val="18"/>
              </w:rPr>
              <w:t>The methodology journal IS the decision register. The test pass log already exists (scripts 12, 13). The cleaned data is already the bundle output. Glue + sign-off + archive are net-new.</w:t>
            </w:r>
          </w:p>
        </w:tc>
      </w:tr>
    </w:tbl>
    <w:p/>
    <w:p>
      <w:pPr>
        <w:spacing w:before="160"/>
      </w:pPr>
      <w:r>
        <w:rPr>
          <w:b/>
          <w:color w:val="1F3A5F"/>
          <w:sz w:val="26"/>
        </w:rPr>
        <w:t>#4.  Surveillance Data SLOs</w:t>
      </w:r>
    </w:p>
    <w:p>
      <w:r>
        <w:rPr>
          <w:b/>
        </w:rPr>
        <w:t xml:space="preserve">Pitch.  </w:t>
      </w:r>
      <w:r>
        <w:t>Define what 'surveillance data is healthy' as 7 measurable Service-Level Objectives -- the M1-M7 themes from the P3 scorecard, signed by producers. Pages on red. Quarterly review on amber. Moves the relationship with producers from 'we'll let you know if your data breaks something' to 'here's what fit-for-purpose means; this is what you've signed up to deliver'.</w:t>
      </w:r>
    </w:p>
    <w:tbl>
      <w:tblPr>
        <w:tblStyle w:val="LightGrid-Accent1"/>
        <w:tblW w:type="auto" w:w="0"/>
        <w:tblLayout w:type="fixed"/>
        <w:tblLook w:firstColumn="1" w:firstRow="1" w:lastColumn="0" w:lastRow="0" w:noHBand="0" w:noVBand="1" w:val="04A0"/>
      </w:tblPr>
      <w:tblGrid>
        <w:gridCol w:w="2448"/>
        <w:gridCol w:w="8208"/>
      </w:tblGrid>
      <w:tr>
        <w:tc>
          <w:tcPr>
            <w:tcW w:type="dxa" w:w="5112"/>
          </w:tcPr>
          <w:p>
            <w:r/>
            <w:r>
              <w:rPr>
                <w:b/>
                <w:sz w:val="18"/>
              </w:rPr>
              <w:t>User</w:t>
            </w:r>
          </w:p>
        </w:tc>
        <w:tc>
          <w:tcPr>
            <w:tcW w:type="dxa" w:w="5112"/>
          </w:tcPr>
          <w:p>
            <w:r/>
            <w:r>
              <w:rPr>
                <w:sz w:val="18"/>
              </w:rPr>
              <w:t>Surveillance Data leadership; producer leadership; platform reliability engineering function.</w:t>
            </w:r>
          </w:p>
        </w:tc>
      </w:tr>
      <w:tr>
        <w:tc>
          <w:tcPr>
            <w:tcW w:type="dxa" w:w="5112"/>
          </w:tcPr>
          <w:p>
            <w:r/>
            <w:r>
              <w:rPr>
                <w:b/>
                <w:sz w:val="18"/>
              </w:rPr>
              <w:t>Job to be done</w:t>
            </w:r>
          </w:p>
        </w:tc>
        <w:tc>
          <w:tcPr>
            <w:tcW w:type="dxa" w:w="5112"/>
          </w:tcPr>
          <w:p>
            <w:r/>
            <w:r>
              <w:rPr>
                <w:sz w:val="18"/>
              </w:rPr>
              <w:t>Replace incident-driven DQ with contractual DQ. Make producer commitments a measurable, monitored, renegotiable document.</w:t>
            </w:r>
          </w:p>
        </w:tc>
      </w:tr>
      <w:tr>
        <w:tc>
          <w:tcPr>
            <w:tcW w:type="dxa" w:w="5112"/>
          </w:tcPr>
          <w:p>
            <w:r/>
            <w:r>
              <w:rPr>
                <w:b/>
                <w:sz w:val="18"/>
              </w:rPr>
              <w:t>MVP scope (90 days)</w:t>
            </w:r>
          </w:p>
        </w:tc>
        <w:tc>
          <w:tcPr>
            <w:tcW w:type="dxa" w:w="5112"/>
          </w:tcPr>
          <w:p>
            <w:r/>
            <w:r>
              <w:rPr>
                <w:sz w:val="18"/>
              </w:rPr>
              <w:t>(a) M1-M7 themes documented as SLO definitions with target values, measurement frequency, and breach handling. (b) SLA template for producer contracts referencing the SLOs. (c) Alerting + paging integration so an SLO breach pages the on-call producer-mgmt + surveillance team. (d) Quarterly SLO review forum chaired by surveillance data leadership.</w:t>
            </w:r>
          </w:p>
        </w:tc>
      </w:tr>
      <w:tr>
        <w:tc>
          <w:tcPr>
            <w:tcW w:type="dxa" w:w="5112"/>
          </w:tcPr>
          <w:p>
            <w:r/>
            <w:r>
              <w:rPr>
                <w:b/>
                <w:sz w:val="18"/>
              </w:rPr>
              <w:t>Success metric</w:t>
            </w:r>
          </w:p>
        </w:tc>
        <w:tc>
          <w:tcPr>
            <w:tcW w:type="dxa" w:w="5112"/>
          </w:tcPr>
          <w:p>
            <w:r/>
            <w:r>
              <w:rPr>
                <w:sz w:val="18"/>
              </w:rPr>
              <w:t>Number of producers who have signed an SLA referencing the surveillance SLOs. SLO breach count per quarter (trending down). Mean time to SLO breach acknowledgement (target: &lt;=4 business hours).</w:t>
            </w:r>
          </w:p>
        </w:tc>
      </w:tr>
      <w:tr>
        <w:tc>
          <w:tcPr>
            <w:tcW w:type="dxa" w:w="5112"/>
          </w:tcPr>
          <w:p>
            <w:r/>
            <w:r>
              <w:rPr>
                <w:b/>
                <w:sz w:val="18"/>
              </w:rPr>
              <w:t>Cost of doing nothing</w:t>
            </w:r>
          </w:p>
        </w:tc>
        <w:tc>
          <w:tcPr>
            <w:tcW w:type="dxa" w:w="5112"/>
          </w:tcPr>
          <w:p>
            <w:r/>
            <w:r>
              <w:rPr>
                <w:sz w:val="18"/>
              </w:rPr>
              <w:t>DQ remains incident-driven. There's no contractual obligation on producers to maintain feed quality, so producers prioritise their own roadmap over surveillance's needs. Every DQ incident is a one-off negotiation rather than enforcement of a pre-agreed standard.</w:t>
            </w:r>
          </w:p>
        </w:tc>
      </w:tr>
      <w:tr>
        <w:tc>
          <w:tcPr>
            <w:tcW w:type="dxa" w:w="5112"/>
          </w:tcPr>
          <w:p>
            <w:r/>
            <w:r>
              <w:rPr>
                <w:b/>
                <w:sz w:val="18"/>
              </w:rPr>
              <w:t>Owner / build team</w:t>
            </w:r>
          </w:p>
        </w:tc>
        <w:tc>
          <w:tcPr>
            <w:tcW w:type="dxa" w:w="5112"/>
          </w:tcPr>
          <w:p>
            <w:r/>
            <w:r>
              <w:rPr>
                <w:sz w:val="18"/>
              </w:rPr>
              <w:t>Surveillance Data leadership owns the SLO definitions; Platform Engineering / SRE owns the alerting infrastructure; Producer Mgmt owns the SLA conversations with vendors.</w:t>
            </w:r>
          </w:p>
        </w:tc>
      </w:tr>
      <w:tr>
        <w:tc>
          <w:tcPr>
            <w:tcW w:type="dxa" w:w="5112"/>
          </w:tcPr>
          <w:p>
            <w:r/>
            <w:r>
              <w:rPr>
                <w:b/>
                <w:sz w:val="18"/>
              </w:rPr>
              <w:t>Consumer</w:t>
            </w:r>
          </w:p>
        </w:tc>
        <w:tc>
          <w:tcPr>
            <w:tcW w:type="dxa" w:w="5112"/>
          </w:tcPr>
          <w:p>
            <w:r/>
            <w:r>
              <w:rPr>
                <w:sz w:val="18"/>
              </w:rPr>
              <w:t>Producer Mgmt (uses SLOs in vendor negotiations); Surveillance Ops (uses breach alerts); Compliance (uses SLO compliance as audit evidence).</w:t>
            </w:r>
          </w:p>
        </w:tc>
      </w:tr>
      <w:tr>
        <w:tc>
          <w:tcPr>
            <w:tcW w:type="dxa" w:w="5112"/>
          </w:tcPr>
          <w:p>
            <w:r/>
            <w:r>
              <w:rPr>
                <w:b/>
                <w:sz w:val="18"/>
              </w:rPr>
              <w:t>Reuses from case study</w:t>
            </w:r>
          </w:p>
        </w:tc>
        <w:tc>
          <w:tcPr>
            <w:tcW w:type="dxa" w:w="5112"/>
          </w:tcPr>
          <w:p>
            <w:r/>
            <w:r>
              <w:rPr>
                <w:sz w:val="18"/>
              </w:rPr>
              <w:t>M1-M7 themes already exist with defensible targets in the P3 scorecard. The case study has done the definitional work. What's net-new is the contractual + alerting wrapper.</w:t>
            </w:r>
          </w:p>
        </w:tc>
      </w:tr>
    </w:tbl>
    <w:p/>
    <w:p>
      <w:r>
        <w:br w:type="page"/>
      </w:r>
    </w:p>
    <w:p>
      <w:pPr>
        <w:pStyle w:val="Heading1"/>
      </w:pPr>
      <w:r>
        <w:rPr>
          <w:color w:val="1F3A5F"/>
        </w:rPr>
        <w:t>Maturity model -- M1-M7 today vs Q1 vs steady state</w:t>
      </w:r>
    </w:p>
    <w:p>
      <w:r>
        <w:rPr>
          <w:b w:val="0"/>
          <w:i/>
          <w:sz w:val="20"/>
        </w:rPr>
        <w:t>What good looks like over time, per theme. The Q1 column is what's reasonable to expect once Framing #1 (Vendor Feed Onboarding Service) is live. Steady state is the long-run target with #2-#4 in place.</w:t>
      </w:r>
    </w:p>
    <w:tbl>
      <w:tblPr>
        <w:tblStyle w:val="LightGrid-Accent1"/>
        <w:tblW w:type="auto" w:w="0"/>
        <w:tblLayout w:type="fixed"/>
        <w:tblLook w:firstColumn="1" w:firstRow="1" w:lastColumn="0" w:lastRow="0" w:noHBand="0" w:noVBand="1" w:val="04A0"/>
      </w:tblPr>
      <w:tblGrid>
        <w:gridCol w:w="2304"/>
        <w:gridCol w:w="2880"/>
        <w:gridCol w:w="2880"/>
        <w:gridCol w:w="2880"/>
      </w:tblGrid>
      <w:tr>
        <w:tc>
          <w:tcPr>
            <w:tcW w:type="dxa" w:w="2556"/>
            <w:shd w:val="clear" w:color="auto" w:fill="1F3A5F"/>
          </w:tcPr>
          <w:p>
            <w:r/>
            <w:r>
              <w:rPr>
                <w:b/>
                <w:color w:val="FFFFFF"/>
                <w:sz w:val="18"/>
              </w:rPr>
              <w:t>Theme</w:t>
            </w:r>
          </w:p>
        </w:tc>
        <w:tc>
          <w:tcPr>
            <w:tcW w:type="dxa" w:w="2556"/>
            <w:shd w:val="clear" w:color="auto" w:fill="1F3A5F"/>
          </w:tcPr>
          <w:p>
            <w:r/>
            <w:r>
              <w:rPr>
                <w:b/>
                <w:color w:val="FFFFFF"/>
                <w:sz w:val="18"/>
              </w:rPr>
              <w:t>Today (this synthetic feed)</w:t>
            </w:r>
          </w:p>
        </w:tc>
        <w:tc>
          <w:tcPr>
            <w:tcW w:type="dxa" w:w="2556"/>
            <w:shd w:val="clear" w:color="auto" w:fill="1F3A5F"/>
          </w:tcPr>
          <w:p>
            <w:r/>
            <w:r>
              <w:rPr>
                <w:b/>
                <w:color w:val="FFFFFF"/>
                <w:sz w:val="18"/>
              </w:rPr>
              <w:t>Q1 -- post Framing #1</w:t>
            </w:r>
          </w:p>
        </w:tc>
        <w:tc>
          <w:tcPr>
            <w:tcW w:type="dxa" w:w="2556"/>
            <w:shd w:val="clear" w:color="auto" w:fill="1F3A5F"/>
          </w:tcPr>
          <w:p>
            <w:r/>
            <w:r>
              <w:rPr>
                <w:b/>
                <w:color w:val="FFFFFF"/>
                <w:sz w:val="18"/>
              </w:rPr>
              <w:t>Steady state</w:t>
            </w:r>
          </w:p>
        </w:tc>
      </w:tr>
      <w:tr>
        <w:tc>
          <w:tcPr>
            <w:tcW w:type="dxa" w:w="2556"/>
          </w:tcPr>
          <w:p>
            <w:r/>
            <w:r>
              <w:rPr>
                <w:b/>
                <w:sz w:val="17"/>
              </w:rPr>
              <w:t>M1 Ingestion completeness</w:t>
            </w:r>
          </w:p>
        </w:tc>
        <w:tc>
          <w:tcPr>
            <w:tcW w:type="dxa" w:w="2556"/>
          </w:tcPr>
          <w:p>
            <w:r/>
            <w:r>
              <w:rPr>
                <w:sz w:val="17"/>
              </w:rPr>
              <w:t>96.70% parse, zero quarantine. Bare-CR risk on legacy readers.</w:t>
            </w:r>
          </w:p>
        </w:tc>
        <w:tc>
          <w:tcPr>
            <w:tcW w:type="dxa" w:w="2556"/>
          </w:tcPr>
          <w:p>
            <w:r/>
            <w:r>
              <w:rPr>
                <w:sz w:val="17"/>
              </w:rPr>
              <w:t>100% parse on net-new feeds (gate enforces). Bare-CR normalised at producer.</w:t>
            </w:r>
          </w:p>
        </w:tc>
        <w:tc>
          <w:tcPr>
            <w:tcW w:type="dxa" w:w="2556"/>
          </w:tcPr>
          <w:p>
            <w:r/>
            <w:r>
              <w:rPr>
                <w:sz w:val="17"/>
              </w:rPr>
              <w:t>All active feeds at &gt;=99.5% parse rate. No silent-drop risk anywhere.</w:t>
            </w:r>
          </w:p>
        </w:tc>
      </w:tr>
      <w:tr>
        <w:tc>
          <w:tcPr>
            <w:tcW w:type="dxa" w:w="2556"/>
          </w:tcPr>
          <w:p>
            <w:r/>
            <w:r>
              <w:rPr>
                <w:b/>
                <w:sz w:val="17"/>
              </w:rPr>
              <w:t>M2 Field completeness</w:t>
            </w:r>
          </w:p>
        </w:tc>
        <w:tc>
          <w:tcPr>
            <w:tcW w:type="dxa" w:w="2556"/>
          </w:tcPr>
          <w:p>
            <w:r/>
            <w:r>
              <w:rPr>
                <w:sz w:val="17"/>
              </w:rPr>
              <w:t>17 of 18 fields tracked; ~12 RED (PK, Trader, Account at risk).</w:t>
            </w:r>
          </w:p>
        </w:tc>
        <w:tc>
          <w:tcPr>
            <w:tcW w:type="dxa" w:w="2556"/>
          </w:tcPr>
          <w:p>
            <w:r/>
            <w:r>
              <w:rPr>
                <w:sz w:val="17"/>
              </w:rPr>
              <w:t>Producer commitments on critical fields (MessageId, TransactionTime, Trader, Account).</w:t>
            </w:r>
          </w:p>
        </w:tc>
        <w:tc>
          <w:tcPr>
            <w:tcW w:type="dxa" w:w="2556"/>
          </w:tcPr>
          <w:p>
            <w:r/>
            <w:r>
              <w:rPr>
                <w:sz w:val="17"/>
              </w:rPr>
              <w:t>100% on critical fields; documented optionality on the rest.</w:t>
            </w:r>
          </w:p>
        </w:tc>
      </w:tr>
      <w:tr>
        <w:tc>
          <w:tcPr>
            <w:tcW w:type="dxa" w:w="2556"/>
          </w:tcPr>
          <w:p>
            <w:r/>
            <w:r>
              <w:rPr>
                <w:b/>
                <w:sz w:val="17"/>
              </w:rPr>
              <w:t>M3 Lineage integrity</w:t>
            </w:r>
          </w:p>
        </w:tc>
        <w:tc>
          <w:tcPr>
            <w:tcW w:type="dxa" w:w="2556"/>
          </w:tcPr>
          <w:p>
            <w:r/>
            <w:r>
              <w:rPr>
                <w:sz w:val="17"/>
              </w:rPr>
              <w:t>9.92% orphaned ParentOrderId; 5.73% orphaned LinkMessageId.</w:t>
            </w:r>
          </w:p>
        </w:tc>
        <w:tc>
          <w:tcPr>
            <w:tcW w:type="dxa" w:w="2556"/>
          </w:tcPr>
          <w:p>
            <w:r/>
            <w:r>
              <w:rPr>
                <w:sz w:val="17"/>
              </w:rPr>
              <w:t>&lt;2% orphan rate on net-new feeds (gate enforces parent-first ordering).</w:t>
            </w:r>
          </w:p>
        </w:tc>
        <w:tc>
          <w:tcPr>
            <w:tcW w:type="dxa" w:w="2556"/>
          </w:tcPr>
          <w:p>
            <w:r/>
            <w:r>
              <w:rPr>
                <w:sz w:val="17"/>
              </w:rPr>
              <w:t>&lt;1% across all active feeds. Zero orphan-by-omission.</w:t>
            </w:r>
          </w:p>
        </w:tc>
      </w:tr>
      <w:tr>
        <w:tc>
          <w:tcPr>
            <w:tcW w:type="dxa" w:w="2556"/>
          </w:tcPr>
          <w:p>
            <w:r/>
            <w:r>
              <w:rPr>
                <w:b/>
                <w:sz w:val="17"/>
              </w:rPr>
              <w:t>M4 Lifecycle coherence</w:t>
            </w:r>
          </w:p>
        </w:tc>
        <w:tc>
          <w:tcPr>
            <w:tcW w:type="dxa" w:w="2556"/>
          </w:tcPr>
          <w:p>
            <w:r/>
            <w:r>
              <w:rPr>
                <w:sz w:val="17"/>
              </w:rPr>
              <w:t>Time-travel on 6.06% of children; 1,748 over-fills; 1,286 fills-after-cancel.</w:t>
            </w:r>
          </w:p>
        </w:tc>
        <w:tc>
          <w:tcPr>
            <w:tcW w:type="dxa" w:w="2556"/>
          </w:tcPr>
          <w:p>
            <w:r/>
            <w:r>
              <w:rPr>
                <w:sz w:val="17"/>
              </w:rPr>
              <w:t>Producer SLA for parent-first ordering; over-fill cap investigated.</w:t>
            </w:r>
          </w:p>
        </w:tc>
        <w:tc>
          <w:tcPr>
            <w:tcW w:type="dxa" w:w="2556"/>
          </w:tcPr>
          <w:p>
            <w:r/>
            <w:r>
              <w:rPr>
                <w:sz w:val="17"/>
              </w:rPr>
              <w:t>Clean lifecycle; B3 (fill-after-cancel) treated as surveillance signal not DQ defect.</w:t>
            </w:r>
          </w:p>
        </w:tc>
      </w:tr>
      <w:tr>
        <w:tc>
          <w:tcPr>
            <w:tcW w:type="dxa" w:w="2556"/>
          </w:tcPr>
          <w:p>
            <w:r/>
            <w:r>
              <w:rPr>
                <w:b/>
                <w:sz w:val="17"/>
              </w:rPr>
              <w:t>M5 Reference data stability</w:t>
            </w:r>
          </w:p>
        </w:tc>
        <w:tc>
          <w:tcPr>
            <w:tcW w:type="dxa" w:w="2556"/>
          </w:tcPr>
          <w:p>
            <w:r/>
            <w:r>
              <w:rPr>
                <w:sz w:val="17"/>
              </w:rPr>
              <w:t>Instrument-&gt;ISIN drift on 88% of instruments. Account collapsed to CPF on 97% of rows.</w:t>
            </w:r>
          </w:p>
        </w:tc>
        <w:tc>
          <w:tcPr>
            <w:tcW w:type="dxa" w:w="2556"/>
          </w:tcPr>
          <w:p>
            <w:r/>
            <w:r>
              <w:rPr>
                <w:sz w:val="17"/>
              </w:rPr>
              <w:t>Reference-data resolution playbook; producer remediation on the column-copy bug.</w:t>
            </w:r>
          </w:p>
        </w:tc>
        <w:tc>
          <w:tcPr>
            <w:tcW w:type="dxa" w:w="2556"/>
          </w:tcPr>
          <w:p>
            <w:r/>
            <w:r>
              <w:rPr>
                <w:sz w:val="17"/>
              </w:rPr>
              <w:t>&lt;5% drift; granular Account values restored on &gt;=95% of rows.</w:t>
            </w:r>
          </w:p>
        </w:tc>
      </w:tr>
      <w:tr>
        <w:tc>
          <w:tcPr>
            <w:tcW w:type="dxa" w:w="2556"/>
          </w:tcPr>
          <w:p>
            <w:r/>
            <w:r>
              <w:rPr>
                <w:b/>
                <w:sz w:val="17"/>
              </w:rPr>
              <w:t>M6 Attribution coverage</w:t>
            </w:r>
          </w:p>
        </w:tc>
        <w:tc>
          <w:tcPr>
            <w:tcW w:type="dxa" w:w="2556"/>
          </w:tcPr>
          <w:p>
            <w:r/>
            <w:r>
              <w:rPr>
                <w:sz w:val="17"/>
              </w:rPr>
              <w:t>35% of fills carry a Trader. Reg-best-execution + MAR attribution at risk.</w:t>
            </w:r>
          </w:p>
        </w:tc>
        <w:tc>
          <w:tcPr>
            <w:tcW w:type="dxa" w:w="2556"/>
          </w:tcPr>
          <w:p>
            <w:r/>
            <w:r>
              <w:rPr>
                <w:sz w:val="17"/>
              </w:rPr>
              <w:t>Producer commitment to OMS backfill. &gt;=80% Trader on fills as interim target.</w:t>
            </w:r>
          </w:p>
        </w:tc>
        <w:tc>
          <w:tcPr>
            <w:tcW w:type="dxa" w:w="2556"/>
          </w:tcPr>
          <w:p>
            <w:r/>
            <w:r>
              <w:rPr>
                <w:sz w:val="17"/>
              </w:rPr>
              <w:t>100% Trader attribution on all executions; documented exception process for algo flow.</w:t>
            </w:r>
          </w:p>
        </w:tc>
      </w:tr>
      <w:tr>
        <w:tc>
          <w:tcPr>
            <w:tcW w:type="dxa" w:w="2556"/>
          </w:tcPr>
          <w:p>
            <w:r/>
            <w:r>
              <w:rPr>
                <w:b/>
                <w:sz w:val="17"/>
              </w:rPr>
              <w:t>M7 Rule eligibility</w:t>
            </w:r>
          </w:p>
        </w:tc>
        <w:tc>
          <w:tcPr>
            <w:tcW w:type="dxa" w:w="2556"/>
          </w:tcPr>
          <w:p>
            <w:r/>
            <w:r>
              <w:rPr>
                <w:sz w:val="17"/>
              </w:rPr>
              <w:t>F2 wash-trade and G1 outliers unreliable (downstream of M5).</w:t>
            </w:r>
          </w:p>
        </w:tc>
        <w:tc>
          <w:tcPr>
            <w:tcW w:type="dxa" w:w="2556"/>
          </w:tcPr>
          <w:p>
            <w:r/>
            <w:r>
              <w:rPr>
                <w:sz w:val="17"/>
              </w:rPr>
              <w:t>Re-baseline F2 + G1 thresholds AFTER M5 fixes ship.</w:t>
            </w:r>
          </w:p>
        </w:tc>
        <w:tc>
          <w:tcPr>
            <w:tcW w:type="dxa" w:w="2556"/>
          </w:tcPr>
          <w:p>
            <w:r/>
            <w:r>
              <w:rPr>
                <w:sz w:val="17"/>
              </w:rPr>
              <w:t>All P2 surveillance rules running with calibrated thresholds and known eligible-population sizes.</w:t>
            </w:r>
          </w:p>
        </w:tc>
      </w:tr>
    </w:tbl>
    <w:p/>
    <w:p>
      <w:r>
        <w:br w:type="page"/>
      </w:r>
    </w:p>
    <w:p>
      <w:pPr>
        <w:pStyle w:val="Heading1"/>
      </w:pPr>
      <w:r>
        <w:rPr>
          <w:color w:val="1F3A5F"/>
        </w:rPr>
        <w:t>Decisions TD leadership needs to confirm</w:t>
      </w:r>
    </w:p>
    <w:p>
      <w:r>
        <w:rPr>
          <w:b w:val="0"/>
          <w:i/>
          <w:sz w:val="20"/>
        </w:rPr>
        <w:t>Concrete things to land on before this becomes a programme. None of these are technical -- they are scope, ownership, and funding decisions.</w:t>
      </w:r>
    </w:p>
    <w:p>
      <w:r>
        <w:rPr>
          <w:b/>
          <w:sz w:val="20"/>
        </w:rPr>
        <w:t>D1.  Which surveillance system(s) does the gate cover?</w:t>
      </w:r>
    </w:p>
    <w:p>
      <w:pPr>
        <w:ind w:left="432"/>
      </w:pPr>
      <w:r>
        <w:rPr>
          <w:sz w:val="19"/>
        </w:rPr>
        <w:t>Today's case study used a generic schema. In production this binds to specific vendor schemas (NICE Actimize, SMARSH, Nasdaq SMARTS, in-house). Defines the parameterization scope of the pipeline.</w:t>
      </w:r>
    </w:p>
    <w:p>
      <w:r>
        <w:rPr>
          <w:b/>
          <w:sz w:val="20"/>
        </w:rPr>
        <w:t>D2.  Who is the accountable executive for surveillance data quality at TDS?</w:t>
      </w:r>
    </w:p>
    <w:p>
      <w:pPr>
        <w:ind w:left="432"/>
      </w:pPr>
      <w:r>
        <w:rPr>
          <w:sz w:val="19"/>
        </w:rPr>
        <w:t>The proposal works best with a single named accountable executive who owns the M1-M7 SLOs and signs off on the producer SLAs. Without one, Framing #4 doesn't land.</w:t>
      </w:r>
    </w:p>
    <w:p>
      <w:r>
        <w:rPr>
          <w:b/>
          <w:sz w:val="20"/>
        </w:rPr>
        <w:t>D3.  Producer relationship model -- contractual SLA or operational MOU?</w:t>
      </w:r>
    </w:p>
    <w:p>
      <w:pPr>
        <w:ind w:left="432"/>
      </w:pPr>
      <w:r>
        <w:rPr>
          <w:sz w:val="19"/>
        </w:rPr>
        <w:t>Framing #4 (SLOs) lives or dies on whether producers sign formal SLAs (vendor contracts) or operational MOUs (internal feeds from desk-side OMSs). Different governance, different teeth.</w:t>
      </w:r>
    </w:p>
    <w:p>
      <w:r>
        <w:rPr>
          <w:b/>
          <w:sz w:val="20"/>
        </w:rPr>
        <w:t>D4.  Build vs buy for the gate UI / scheduler / archive?</w:t>
      </w:r>
    </w:p>
    <w:p>
      <w:pPr>
        <w:ind w:left="432"/>
      </w:pPr>
      <w:r>
        <w:rPr>
          <w:sz w:val="19"/>
        </w:rPr>
        <w:t>The pipeline is the IP; the wrapping (UI, scheduler, archive, alerting) can be built or could ride on existing TD platforms (Azure Data Factory, Databricks Workflows, ServiceNow). 90-day MVP timeline depends on this.</w:t>
      </w:r>
    </w:p>
    <w:p>
      <w:r>
        <w:rPr>
          <w:b/>
          <w:sz w:val="20"/>
        </w:rPr>
        <w:t>D5.  How does this relate to existing TD enterprise data governance?</w:t>
      </w:r>
    </w:p>
    <w:p>
      <w:pPr>
        <w:ind w:left="432"/>
      </w:pPr>
      <w:r>
        <w:rPr>
          <w:sz w:val="19"/>
        </w:rPr>
        <w:t>If TD already has a data-governance function with its own scorecards and SLAs, this proposal needs to integrate, not duplicate. Worth a one-meeting alignment with the central data-governance team before scoping.</w:t>
      </w:r>
    </w:p>
    <w:p>
      <w:r>
        <w:rPr>
          <w:b/>
          <w:sz w:val="20"/>
        </w:rPr>
        <w:t>D6.  Audit-pack signing authority (Framing #3)?</w:t>
      </w:r>
    </w:p>
    <w:p>
      <w:pPr>
        <w:ind w:left="432"/>
      </w:pPr>
      <w:r>
        <w:rPr>
          <w:sz w:val="19"/>
        </w:rPr>
        <w:t>Who signs an Audit Pack as 'this is the defensible state of the data on date X'? Likely Surveillance Data lead + Compliance lead jointly, but needs explicit decision before the workflow is built.</w:t>
      </w:r>
    </w:p>
    <w:p/>
    <w:p>
      <w:pPr>
        <w:pStyle w:val="Heading1"/>
      </w:pPr>
      <w:r>
        <w:rPr>
          <w:color w:val="1F3A5F"/>
        </w:rPr>
        <w:t>Why this proposal is defensible -- the case study IS the receipts</w:t>
      </w:r>
    </w:p>
    <w:p>
      <w:r>
        <w:rPr>
          <w:b w:val="0"/>
          <w:i/>
          <w:sz w:val="20"/>
        </w:rPr>
        <w:t>Three things to note about how this proposal was built:</w:t>
      </w:r>
    </w:p>
    <w:p>
      <w:pPr>
        <w:pStyle w:val="ListBullet"/>
      </w:pPr>
      <w:r>
        <w:rPr>
          <w:sz w:val="20"/>
        </w:rPr>
        <w:t>Every claim about what the pipeline can do is backed by the bundle in the same folder. The 96.70% parse rate, the 44 KPIs, the M1-M7 RAG status -- all reproducible from data/synthetic_trade_data.csv via analysis/01..17.</w:t>
      </w:r>
    </w:p>
    <w:p>
      <w:pPr>
        <w:pStyle w:val="ListBullet"/>
      </w:pPr>
      <w:r>
        <w:rPr>
          <w:sz w:val="20"/>
        </w:rPr>
        <w:t>Every recommended Framing reuses infrastructure that already exists. None of the four requires net-new data engineering past parameterization + UI / scheduler / archive wrapping. The hard part (the surveillance-domain DQ logic) is done.</w:t>
      </w:r>
    </w:p>
    <w:p>
      <w:pPr>
        <w:pStyle w:val="ListBullet"/>
      </w:pPr>
      <w:r>
        <w:rPr>
          <w:sz w:val="20"/>
        </w:rPr>
        <w:t>The producer-vs-team ownership split is the same one in the P3 scorecard and the exec summary. Same RACI, same accountability matrix, applied to ongoing operations rather than a single audit.</w:t>
      </w:r>
    </w:p>
    <w:p/>
    <w:p>
      <w:r>
        <w:rPr>
          <w:b/>
        </w:rPr>
        <w:t xml:space="preserve">Bottom line.  </w:t>
      </w:r>
      <w:r>
        <w:t>The take-home brief asked for a defensible audit. The audit is shipped. This document is what the team should consider building NEXT, given that the audit itself revealed a recurring need that today's process doesn't address. The ask is small: 90 days, one mid-level engineer, 0.25 PM, on infrastructure that already exists. The pay-off is a permanent reduction in JPM-class exposure on every new feed TDS onboards from this point forward.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