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Aptos Display" w:hAnsi="Aptos Display"/>
          <w:b/>
          <w:color w:val="17365D"/>
          <w:sz w:val="60"/>
        </w:rPr>
        <w:t>SNOWFLAKE FINANCIAL</w:t>
        <w:br/>
        <w:t>DATA LAKEHOUSE</w:t>
      </w:r>
    </w:p>
    <w:p>
      <w:pPr>
        <w:jc w:val="center"/>
      </w:pPr>
      <w:r>
        <w:rPr>
          <w:color w:val="2F5597"/>
          <w:sz w:val="36"/>
        </w:rPr>
        <w:t>Project Documentation</w:t>
      </w:r>
    </w:p>
    <w:p>
      <w:pPr>
        <w:spacing w:before="400"/>
        <w:jc w:val="center"/>
      </w:pPr>
      <w:r>
        <w:rPr>
          <w:i/>
        </w:rPr>
        <w:t>Snowflake SQL • Medallion Architecture • Incremental Processing • Audit &amp; Monitoring • Streamlit</w:t>
      </w:r>
    </w:p>
    <w:p>
      <w:pPr>
        <w:spacing w:before="1900"/>
        <w:jc w:val="center"/>
      </w:pPr>
      <w:r>
        <w:rPr>
          <w:sz w:val="20"/>
        </w:rPr>
        <w:t>Prepared as a technical reference and portfolio project document</w:t>
      </w:r>
    </w:p>
    <w:p>
      <w:r>
        <w:br w:type="page"/>
      </w:r>
    </w:p>
    <w:p>
      <w:pPr>
        <w:pStyle w:val="Heading1"/>
      </w:pPr>
      <w:r>
        <w:t>Document purpose and status</w:t>
      </w:r>
    </w:p>
    <w:p>
      <w:r>
        <w:t>This document describes the implemented Snowflake Financial Data Lakehouse project using the project details available at the time of writing. It is intended for portfolio presentation, technical revision, demonstrations, and interview preparation. It separates confirmed implementation from proposed or not-yet-verified enhancements.</w:t>
      </w:r>
    </w:p>
    <w:p>
      <w:r>
        <w:t>Status note: the user reported that all four Streamlit pages load successfully and that the application is deployed. The dashboard URL below is the URL supplied by the project owner; it has not been independently checked outside the owner's Snowflake session. The known batch audit reconciliation validates ingestion against Snowflake load history; it does not by itself prove full Bronze-to-Silver-to-Gold reconciliation.</w:t>
      </w:r>
    </w:p>
    <w:p>
      <w:pPr>
        <w:pStyle w:val="Heading1"/>
      </w:pPr>
      <w:r>
        <w:t>Project summary</w:t>
      </w:r>
    </w:p>
    <w:p>
      <w:r>
        <w:t>The project uses the PaySim synthetic financial transaction dataset to demonstrate a cloud data engineering workflow in Snowflake. The design organizes data into Bronze, Silver, and Gold layers, adds an Audit schema for ingestion and task monitoring, uses Snowflake Streams and a scheduled Task for incremental processing, creates analytical Gold tables, and presents results through a four-page Streamlit application.</w:t>
      </w:r>
    </w:p>
    <w:tbl>
      <w:tblPr>
        <w:tblStyle w:val="TableGrid"/>
        <w:tblW w:type="auto" w:w="0"/>
        <w:jc w:val="center"/>
        <w:tblLook w:firstColumn="1" w:firstRow="1" w:lastColumn="0" w:lastRow="0" w:noHBand="0" w:noVBand="1" w:val="04A0"/>
      </w:tblPr>
      <w:tblGrid>
        <w:gridCol w:w="4968"/>
        <w:gridCol w:w="4968"/>
      </w:tblGrid>
      <w:tr>
        <w:tc>
          <w:tcPr>
            <w:tcW w:type="dxa" w:w="2232"/>
            <w:vAlign w:val="center"/>
            <w:shd w:fill="17365D"/>
          </w:tcPr>
          <w:p>
            <w:pPr>
              <w:spacing w:after="20"/>
            </w:pPr>
            <w:r/>
            <w:r>
              <w:rPr>
                <w:rFonts w:ascii="Aptos" w:hAnsi="Aptos"/>
                <w:b/>
                <w:color w:val="FFFFFF"/>
                <w:sz w:val="18"/>
              </w:rPr>
              <w:t>Item</w:t>
            </w:r>
          </w:p>
        </w:tc>
        <w:tc>
          <w:tcPr>
            <w:tcW w:type="dxa" w:w="8208"/>
            <w:vAlign w:val="center"/>
            <w:shd w:fill="17365D"/>
          </w:tcPr>
          <w:p>
            <w:pPr>
              <w:spacing w:after="20"/>
            </w:pPr>
            <w:r/>
            <w:r>
              <w:rPr>
                <w:rFonts w:ascii="Aptos" w:hAnsi="Aptos"/>
                <w:b/>
                <w:color w:val="FFFFFF"/>
                <w:sz w:val="18"/>
              </w:rPr>
              <w:t>Details</w:t>
            </w:r>
          </w:p>
        </w:tc>
      </w:tr>
      <w:tr>
        <w:tc>
          <w:tcPr>
            <w:tcW w:type="dxa" w:w="2232"/>
            <w:vAlign w:val="center"/>
          </w:tcPr>
          <w:p>
            <w:pPr>
              <w:spacing w:after="20"/>
            </w:pPr>
            <w:r/>
            <w:r>
              <w:rPr>
                <w:rFonts w:ascii="Aptos" w:hAnsi="Aptos"/>
                <w:b w:val="0"/>
                <w:sz w:val="17"/>
              </w:rPr>
              <w:t>Project</w:t>
            </w:r>
          </w:p>
        </w:tc>
        <w:tc>
          <w:tcPr>
            <w:tcW w:type="dxa" w:w="8208"/>
            <w:vAlign w:val="center"/>
          </w:tcPr>
          <w:p>
            <w:pPr>
              <w:spacing w:after="20"/>
            </w:pPr>
            <w:r/>
            <w:r>
              <w:rPr>
                <w:rFonts w:ascii="Aptos" w:hAnsi="Aptos"/>
                <w:b w:val="0"/>
                <w:sz w:val="17"/>
              </w:rPr>
              <w:t>Snowflake Financial Data Lakehouse</w:t>
            </w:r>
          </w:p>
        </w:tc>
      </w:tr>
      <w:tr>
        <w:tc>
          <w:tcPr>
            <w:tcW w:type="dxa" w:w="2232"/>
            <w:vAlign w:val="center"/>
            <w:shd w:fill="F2F6FA"/>
          </w:tcPr>
          <w:p>
            <w:pPr>
              <w:spacing w:after="20"/>
            </w:pPr>
            <w:r/>
            <w:r>
              <w:rPr>
                <w:rFonts w:ascii="Aptos" w:hAnsi="Aptos"/>
                <w:b w:val="0"/>
                <w:sz w:val="17"/>
              </w:rPr>
              <w:t>Source dataset</w:t>
            </w:r>
          </w:p>
        </w:tc>
        <w:tc>
          <w:tcPr>
            <w:tcW w:type="dxa" w:w="8208"/>
            <w:vAlign w:val="center"/>
            <w:shd w:fill="F2F6FA"/>
          </w:tcPr>
          <w:p>
            <w:pPr>
              <w:spacing w:after="20"/>
            </w:pPr>
            <w:r/>
            <w:r>
              <w:rPr>
                <w:rFonts w:ascii="Aptos" w:hAnsi="Aptos"/>
                <w:b w:val="0"/>
                <w:sz w:val="17"/>
              </w:rPr>
              <w:t>PaySim synthetic financial transactions</w:t>
            </w:r>
          </w:p>
        </w:tc>
      </w:tr>
      <w:tr>
        <w:tc>
          <w:tcPr>
            <w:tcW w:type="dxa" w:w="2232"/>
            <w:vAlign w:val="center"/>
          </w:tcPr>
          <w:p>
            <w:pPr>
              <w:spacing w:after="20"/>
            </w:pPr>
            <w:r/>
            <w:r>
              <w:rPr>
                <w:rFonts w:ascii="Aptos" w:hAnsi="Aptos"/>
                <w:b w:val="0"/>
                <w:sz w:val="17"/>
              </w:rPr>
              <w:t>Snowflake database</w:t>
            </w:r>
          </w:p>
        </w:tc>
        <w:tc>
          <w:tcPr>
            <w:tcW w:type="dxa" w:w="8208"/>
            <w:vAlign w:val="center"/>
          </w:tcPr>
          <w:p>
            <w:pPr>
              <w:spacing w:after="20"/>
            </w:pPr>
            <w:r/>
            <w:r>
              <w:rPr>
                <w:rFonts w:ascii="Aptos" w:hAnsi="Aptos"/>
                <w:b w:val="0"/>
                <w:sz w:val="17"/>
              </w:rPr>
              <w:t>FINANCIAL_LAKEHOUSE_DB</w:t>
            </w:r>
          </w:p>
        </w:tc>
      </w:tr>
      <w:tr>
        <w:tc>
          <w:tcPr>
            <w:tcW w:type="dxa" w:w="2232"/>
            <w:vAlign w:val="center"/>
            <w:shd w:fill="F2F6FA"/>
          </w:tcPr>
          <w:p>
            <w:pPr>
              <w:spacing w:after="20"/>
            </w:pPr>
            <w:r/>
            <w:r>
              <w:rPr>
                <w:rFonts w:ascii="Aptos" w:hAnsi="Aptos"/>
                <w:b w:val="0"/>
                <w:sz w:val="17"/>
              </w:rPr>
              <w:t>Schemas</w:t>
            </w:r>
          </w:p>
        </w:tc>
        <w:tc>
          <w:tcPr>
            <w:tcW w:type="dxa" w:w="8208"/>
            <w:vAlign w:val="center"/>
            <w:shd w:fill="F2F6FA"/>
          </w:tcPr>
          <w:p>
            <w:pPr>
              <w:spacing w:after="20"/>
            </w:pPr>
            <w:r/>
            <w:r>
              <w:rPr>
                <w:rFonts w:ascii="Aptos" w:hAnsi="Aptos"/>
                <w:b w:val="0"/>
                <w:sz w:val="17"/>
              </w:rPr>
              <w:t>BRONZE_RAW, SILVER_CURATED, GOLD_ANALYTICS, AUDIT</w:t>
            </w:r>
          </w:p>
        </w:tc>
      </w:tr>
      <w:tr>
        <w:tc>
          <w:tcPr>
            <w:tcW w:type="dxa" w:w="2232"/>
            <w:vAlign w:val="center"/>
          </w:tcPr>
          <w:p>
            <w:pPr>
              <w:spacing w:after="20"/>
            </w:pPr>
            <w:r/>
            <w:r>
              <w:rPr>
                <w:rFonts w:ascii="Aptos" w:hAnsi="Aptos"/>
                <w:b w:val="0"/>
                <w:sz w:val="17"/>
              </w:rPr>
              <w:t>Reported source profile</w:t>
            </w:r>
          </w:p>
        </w:tc>
        <w:tc>
          <w:tcPr>
            <w:tcW w:type="dxa" w:w="8208"/>
            <w:vAlign w:val="center"/>
          </w:tcPr>
          <w:p>
            <w:pPr>
              <w:spacing w:after="20"/>
            </w:pPr>
            <w:r/>
            <w:r>
              <w:rPr>
                <w:rFonts w:ascii="Aptos" w:hAnsi="Aptos"/>
                <w:b w:val="0"/>
                <w:sz w:val="17"/>
              </w:rPr>
              <w:t>6,362,620 rows; 11 columns; zero nulls; zero duplicate rows; 743 distinct steps</w:t>
            </w:r>
          </w:p>
        </w:tc>
      </w:tr>
      <w:tr>
        <w:tc>
          <w:tcPr>
            <w:tcW w:type="dxa" w:w="2232"/>
            <w:vAlign w:val="center"/>
            <w:shd w:fill="F2F6FA"/>
          </w:tcPr>
          <w:p>
            <w:pPr>
              <w:spacing w:after="20"/>
            </w:pPr>
            <w:r/>
            <w:r>
              <w:rPr>
                <w:rFonts w:ascii="Aptos" w:hAnsi="Aptos"/>
                <w:b w:val="0"/>
                <w:sz w:val="17"/>
              </w:rPr>
              <w:t>Ingestion batches</w:t>
            </w:r>
          </w:p>
        </w:tc>
        <w:tc>
          <w:tcPr>
            <w:tcW w:type="dxa" w:w="8208"/>
            <w:vAlign w:val="center"/>
            <w:shd w:fill="F2F6FA"/>
          </w:tcPr>
          <w:p>
            <w:pPr>
              <w:spacing w:after="20"/>
            </w:pPr>
            <w:r/>
            <w:r>
              <w:rPr>
                <w:rFonts w:ascii="Aptos" w:hAnsi="Aptos"/>
                <w:b w:val="0"/>
                <w:sz w:val="17"/>
              </w:rPr>
              <w:t>Four CSV batches; total 6,362,620 rows</w:t>
            </w:r>
          </w:p>
        </w:tc>
      </w:tr>
      <w:tr>
        <w:tc>
          <w:tcPr>
            <w:tcW w:type="dxa" w:w="2232"/>
            <w:vAlign w:val="center"/>
          </w:tcPr>
          <w:p>
            <w:pPr>
              <w:spacing w:after="20"/>
            </w:pPr>
            <w:r/>
            <w:r>
              <w:rPr>
                <w:rFonts w:ascii="Aptos" w:hAnsi="Aptos"/>
                <w:b w:val="0"/>
                <w:sz w:val="17"/>
              </w:rPr>
              <w:t>Dashboard</w:t>
            </w:r>
          </w:p>
        </w:tc>
        <w:tc>
          <w:tcPr>
            <w:tcW w:type="dxa" w:w="8208"/>
            <w:vAlign w:val="center"/>
          </w:tcPr>
          <w:p>
            <w:pPr>
              <w:spacing w:after="20"/>
            </w:pPr>
            <w:r/>
            <w:r>
              <w:rPr>
                <w:rFonts w:ascii="Aptos" w:hAnsi="Aptos"/>
                <w:b w:val="0"/>
                <w:sz w:val="17"/>
              </w:rPr>
              <w:t>Four Streamlit pages; owner reports all pages load</w:t>
            </w:r>
          </w:p>
        </w:tc>
      </w:tr>
      <w:tr>
        <w:tc>
          <w:tcPr>
            <w:tcW w:type="dxa" w:w="2232"/>
            <w:vAlign w:val="center"/>
            <w:shd w:fill="F2F6FA"/>
          </w:tcPr>
          <w:p>
            <w:pPr>
              <w:spacing w:after="20"/>
            </w:pPr>
            <w:r/>
            <w:r>
              <w:rPr>
                <w:rFonts w:ascii="Aptos" w:hAnsi="Aptos"/>
                <w:b w:val="0"/>
                <w:sz w:val="17"/>
              </w:rPr>
              <w:t>Live app URL</w:t>
            </w:r>
          </w:p>
        </w:tc>
        <w:tc>
          <w:tcPr>
            <w:tcW w:type="dxa" w:w="8208"/>
            <w:vAlign w:val="center"/>
            <w:shd w:fill="F2F6FA"/>
          </w:tcPr>
          <w:p>
            <w:pPr>
              <w:spacing w:after="20"/>
            </w:pPr>
            <w:r/>
            <w:r>
              <w:rPr>
                <w:rFonts w:ascii="Aptos" w:hAnsi="Aptos"/>
                <w:b w:val="0"/>
                <w:sz w:val="17"/>
              </w:rPr>
              <w:t>https://app.snowflake.com/streamlit/aarcadm/hz40948/#/apps/qiyut6u5zjt32xsc532f</w:t>
            </w:r>
          </w:p>
        </w:tc>
      </w:tr>
    </w:tbl>
    <w:p/>
    <w:p>
      <w:pPr>
        <w:pStyle w:val="Heading1"/>
      </w:pPr>
      <w:r>
        <w:t>1. Business and technical problem</w:t>
      </w:r>
    </w:p>
    <w:p>
      <w:r>
        <w:t>A large transaction CSV is useful for analysis only after it can be loaded reliably, transformed consistently, monitored, and exposed through analytics. This project demonstrates the main engineering concerns in that journey: batch ingestion, layered data organization, data quality, incremental change processing, reconciliation, operational visibility, and dashboard delivery.</w:t>
      </w:r>
    </w:p>
    <w:p>
      <w:pPr>
        <w:pStyle w:val="Heading1"/>
      </w:pPr>
      <w:r>
        <w:t>2. Objectives</w:t>
      </w:r>
    </w:p>
    <w:p>
      <w:pPr>
        <w:pStyle w:val="ListBullet"/>
        <w:spacing w:after="40"/>
      </w:pPr>
      <w:r>
        <w:t>Profile a multi-million-row synthetic transaction dataset and split it into repeatable ingestion batches.</w:t>
      </w:r>
    </w:p>
    <w:p>
      <w:pPr>
        <w:pStyle w:val="ListBullet"/>
        <w:spacing w:after="40"/>
      </w:pPr>
      <w:r>
        <w:t>Load raw data into Snowflake and preserve a source-aligned Bronze layer.</w:t>
      </w:r>
    </w:p>
    <w:p>
      <w:pPr>
        <w:pStyle w:val="ListBullet"/>
        <w:spacing w:after="40"/>
      </w:pPr>
      <w:r>
        <w:t>Create a curated Silver layer for downstream analysis.</w:t>
      </w:r>
    </w:p>
    <w:p>
      <w:pPr>
        <w:pStyle w:val="ListBullet"/>
        <w:spacing w:after="40"/>
      </w:pPr>
      <w:r>
        <w:t>Use a Stream and scheduled Task to process new Bronze changes incrementally.</w:t>
      </w:r>
    </w:p>
    <w:p>
      <w:pPr>
        <w:pStyle w:val="ListBullet"/>
        <w:spacing w:after="40"/>
      </w:pPr>
      <w:r>
        <w:t>Create Gold analytical tables for transaction, fraud, and step-level analysis.</w:t>
      </w:r>
    </w:p>
    <w:p>
      <w:pPr>
        <w:pStyle w:val="ListBullet"/>
        <w:spacing w:after="40"/>
      </w:pPr>
      <w:r>
        <w:t>Record batch load outcomes and expose task history through audit/monitoring objects.</w:t>
      </w:r>
    </w:p>
    <w:p>
      <w:pPr>
        <w:pStyle w:val="ListBullet"/>
        <w:spacing w:after="40"/>
      </w:pPr>
      <w:r>
        <w:t>Build a Streamlit application for executive metrics, fraud analysis, transaction exploration, and pipeline monitoring.</w:t>
      </w:r>
    </w:p>
    <w:p>
      <w:pPr>
        <w:pStyle w:val="ListBullet"/>
        <w:spacing w:after="40"/>
      </w:pPr>
      <w:r>
        <w:t>Document validation results and distinguish proven behavior from future enhancements.</w:t>
      </w:r>
    </w:p>
    <w:p>
      <w:pPr>
        <w:pStyle w:val="Heading1"/>
      </w:pPr>
      <w:r>
        <w:t>3. Dataset and profiling</w:t>
      </w:r>
    </w:p>
    <w:p>
      <w:r>
        <w:t>Source: PaySim, a synthetic financial transaction dataset. It contains transaction-related fields such as step, transaction type, amount, origin and destination identifiers, balance values, and fraud indicators. It is suitable for practicing analytics and data engineering; labels in the synthetic dataset should not be represented as proof of real-world fraud detection.</w:t>
      </w:r>
    </w:p>
    <w:p>
      <w:r>
        <w:t>Dataset page: https://www.kaggle.com/datasets/ealaxi/paysim1</w:t>
      </w:r>
    </w:p>
    <w:tbl>
      <w:tblPr>
        <w:tblStyle w:val="TableGrid"/>
        <w:tblW w:type="auto" w:w="0"/>
        <w:jc w:val="center"/>
        <w:tblLook w:firstColumn="1" w:firstRow="1" w:lastColumn="0" w:lastRow="0" w:noHBand="0" w:noVBand="1" w:val="04A0"/>
      </w:tblPr>
      <w:tblGrid>
        <w:gridCol w:w="3312"/>
        <w:gridCol w:w="3312"/>
        <w:gridCol w:w="3312"/>
      </w:tblGrid>
      <w:tr>
        <w:tc>
          <w:tcPr>
            <w:tcW w:type="dxa" w:w="2016"/>
            <w:vAlign w:val="center"/>
            <w:shd w:fill="17365D"/>
          </w:tcPr>
          <w:p>
            <w:pPr>
              <w:spacing w:after="20"/>
            </w:pPr>
            <w:r/>
            <w:r>
              <w:rPr>
                <w:rFonts w:ascii="Aptos" w:hAnsi="Aptos"/>
                <w:b/>
                <w:color w:val="FFFFFF"/>
                <w:sz w:val="18"/>
              </w:rPr>
              <w:t>Profile check</w:t>
            </w:r>
          </w:p>
        </w:tc>
        <w:tc>
          <w:tcPr>
            <w:tcW w:type="dxa" w:w="2088"/>
            <w:vAlign w:val="center"/>
            <w:shd w:fill="17365D"/>
          </w:tcPr>
          <w:p>
            <w:pPr>
              <w:spacing w:after="20"/>
            </w:pPr>
            <w:r/>
            <w:r>
              <w:rPr>
                <w:rFonts w:ascii="Aptos" w:hAnsi="Aptos"/>
                <w:b/>
                <w:color w:val="FFFFFF"/>
                <w:sz w:val="18"/>
              </w:rPr>
              <w:t>Reported result</w:t>
            </w:r>
          </w:p>
        </w:tc>
        <w:tc>
          <w:tcPr>
            <w:tcW w:type="dxa" w:w="6336"/>
            <w:vAlign w:val="center"/>
            <w:shd w:fill="17365D"/>
          </w:tcPr>
          <w:p>
            <w:pPr>
              <w:spacing w:after="20"/>
            </w:pPr>
            <w:r/>
            <w:r>
              <w:rPr>
                <w:rFonts w:ascii="Aptos" w:hAnsi="Aptos"/>
                <w:b/>
                <w:color w:val="FFFFFF"/>
                <w:sz w:val="18"/>
              </w:rPr>
              <w:t>Interpretation</w:t>
            </w:r>
          </w:p>
        </w:tc>
      </w:tr>
      <w:tr>
        <w:tc>
          <w:tcPr>
            <w:tcW w:type="dxa" w:w="2016"/>
            <w:vAlign w:val="center"/>
          </w:tcPr>
          <w:p>
            <w:pPr>
              <w:spacing w:after="20"/>
            </w:pPr>
            <w:r/>
            <w:r>
              <w:rPr>
                <w:rFonts w:ascii="Aptos" w:hAnsi="Aptos"/>
                <w:b w:val="0"/>
                <w:sz w:val="17"/>
              </w:rPr>
              <w:t>Rows</w:t>
            </w:r>
          </w:p>
        </w:tc>
        <w:tc>
          <w:tcPr>
            <w:tcW w:type="dxa" w:w="2088"/>
            <w:vAlign w:val="center"/>
          </w:tcPr>
          <w:p>
            <w:pPr>
              <w:spacing w:after="20"/>
            </w:pPr>
            <w:r/>
            <w:r>
              <w:rPr>
                <w:rFonts w:ascii="Aptos" w:hAnsi="Aptos"/>
                <w:b w:val="0"/>
                <w:sz w:val="17"/>
              </w:rPr>
              <w:t>6,362,620</w:t>
            </w:r>
          </w:p>
        </w:tc>
        <w:tc>
          <w:tcPr>
            <w:tcW w:type="dxa" w:w="6336"/>
            <w:vAlign w:val="center"/>
          </w:tcPr>
          <w:p>
            <w:pPr>
              <w:spacing w:after="20"/>
            </w:pPr>
            <w:r/>
            <w:r>
              <w:rPr>
                <w:rFonts w:ascii="Aptos" w:hAnsi="Aptos"/>
                <w:b w:val="0"/>
                <w:sz w:val="17"/>
              </w:rPr>
              <w:t>The reported source row count used by the project.</w:t>
            </w:r>
          </w:p>
        </w:tc>
      </w:tr>
      <w:tr>
        <w:tc>
          <w:tcPr>
            <w:tcW w:type="dxa" w:w="2016"/>
            <w:vAlign w:val="center"/>
            <w:shd w:fill="F2F6FA"/>
          </w:tcPr>
          <w:p>
            <w:pPr>
              <w:spacing w:after="20"/>
            </w:pPr>
            <w:r/>
            <w:r>
              <w:rPr>
                <w:rFonts w:ascii="Aptos" w:hAnsi="Aptos"/>
                <w:b w:val="0"/>
                <w:sz w:val="17"/>
              </w:rPr>
              <w:t>Columns</w:t>
            </w:r>
          </w:p>
        </w:tc>
        <w:tc>
          <w:tcPr>
            <w:tcW w:type="dxa" w:w="2088"/>
            <w:vAlign w:val="center"/>
            <w:shd w:fill="F2F6FA"/>
          </w:tcPr>
          <w:p>
            <w:pPr>
              <w:spacing w:after="20"/>
            </w:pPr>
            <w:r/>
            <w:r>
              <w:rPr>
                <w:rFonts w:ascii="Aptos" w:hAnsi="Aptos"/>
                <w:b w:val="0"/>
                <w:sz w:val="17"/>
              </w:rPr>
              <w:t>11</w:t>
            </w:r>
          </w:p>
        </w:tc>
        <w:tc>
          <w:tcPr>
            <w:tcW w:type="dxa" w:w="6336"/>
            <w:vAlign w:val="center"/>
            <w:shd w:fill="F2F6FA"/>
          </w:tcPr>
          <w:p>
            <w:pPr>
              <w:spacing w:after="20"/>
            </w:pPr>
            <w:r/>
            <w:r>
              <w:rPr>
                <w:rFonts w:ascii="Aptos" w:hAnsi="Aptos"/>
                <w:b w:val="0"/>
                <w:sz w:val="17"/>
              </w:rPr>
              <w:t>The source profile reported eleven fields.</w:t>
            </w:r>
          </w:p>
        </w:tc>
      </w:tr>
      <w:tr>
        <w:tc>
          <w:tcPr>
            <w:tcW w:type="dxa" w:w="2016"/>
            <w:vAlign w:val="center"/>
          </w:tcPr>
          <w:p>
            <w:pPr>
              <w:spacing w:after="20"/>
            </w:pPr>
            <w:r/>
            <w:r>
              <w:rPr>
                <w:rFonts w:ascii="Aptos" w:hAnsi="Aptos"/>
                <w:b w:val="0"/>
                <w:sz w:val="17"/>
              </w:rPr>
              <w:t>Null values</w:t>
            </w:r>
          </w:p>
        </w:tc>
        <w:tc>
          <w:tcPr>
            <w:tcW w:type="dxa" w:w="2088"/>
            <w:vAlign w:val="center"/>
          </w:tcPr>
          <w:p>
            <w:pPr>
              <w:spacing w:after="20"/>
            </w:pPr>
            <w:r/>
            <w:r>
              <w:rPr>
                <w:rFonts w:ascii="Aptos" w:hAnsi="Aptos"/>
                <w:b w:val="0"/>
                <w:sz w:val="17"/>
              </w:rPr>
              <w:t>0</w:t>
            </w:r>
          </w:p>
        </w:tc>
        <w:tc>
          <w:tcPr>
            <w:tcW w:type="dxa" w:w="6336"/>
            <w:vAlign w:val="center"/>
          </w:tcPr>
          <w:p>
            <w:pPr>
              <w:spacing w:after="20"/>
            </w:pPr>
            <w:r/>
            <w:r>
              <w:rPr>
                <w:rFonts w:ascii="Aptos" w:hAnsi="Aptos"/>
                <w:b w:val="0"/>
                <w:sz w:val="17"/>
              </w:rPr>
              <w:t>No nulls were reported in the profiling result.</w:t>
            </w:r>
          </w:p>
        </w:tc>
      </w:tr>
      <w:tr>
        <w:tc>
          <w:tcPr>
            <w:tcW w:type="dxa" w:w="2016"/>
            <w:vAlign w:val="center"/>
            <w:shd w:fill="F2F6FA"/>
          </w:tcPr>
          <w:p>
            <w:pPr>
              <w:spacing w:after="20"/>
            </w:pPr>
            <w:r/>
            <w:r>
              <w:rPr>
                <w:rFonts w:ascii="Aptos" w:hAnsi="Aptos"/>
                <w:b w:val="0"/>
                <w:sz w:val="17"/>
              </w:rPr>
              <w:t>Duplicate rows</w:t>
            </w:r>
          </w:p>
        </w:tc>
        <w:tc>
          <w:tcPr>
            <w:tcW w:type="dxa" w:w="2088"/>
            <w:vAlign w:val="center"/>
            <w:shd w:fill="F2F6FA"/>
          </w:tcPr>
          <w:p>
            <w:pPr>
              <w:spacing w:after="20"/>
            </w:pPr>
            <w:r/>
            <w:r>
              <w:rPr>
                <w:rFonts w:ascii="Aptos" w:hAnsi="Aptos"/>
                <w:b w:val="0"/>
                <w:sz w:val="17"/>
              </w:rPr>
              <w:t>0</w:t>
            </w:r>
          </w:p>
        </w:tc>
        <w:tc>
          <w:tcPr>
            <w:tcW w:type="dxa" w:w="6336"/>
            <w:vAlign w:val="center"/>
            <w:shd w:fill="F2F6FA"/>
          </w:tcPr>
          <w:p>
            <w:pPr>
              <w:spacing w:after="20"/>
            </w:pPr>
            <w:r/>
            <w:r>
              <w:rPr>
                <w:rFonts w:ascii="Aptos" w:hAnsi="Aptos"/>
                <w:b w:val="0"/>
                <w:sz w:val="17"/>
              </w:rPr>
              <w:t>No duplicate rows were reported by the profiling check.</w:t>
            </w:r>
          </w:p>
        </w:tc>
      </w:tr>
      <w:tr>
        <w:tc>
          <w:tcPr>
            <w:tcW w:type="dxa" w:w="2016"/>
            <w:vAlign w:val="center"/>
          </w:tcPr>
          <w:p>
            <w:pPr>
              <w:spacing w:after="20"/>
            </w:pPr>
            <w:r/>
            <w:r>
              <w:rPr>
                <w:rFonts w:ascii="Aptos" w:hAnsi="Aptos"/>
                <w:b w:val="0"/>
                <w:sz w:val="17"/>
              </w:rPr>
              <w:t>Step values</w:t>
            </w:r>
          </w:p>
        </w:tc>
        <w:tc>
          <w:tcPr>
            <w:tcW w:type="dxa" w:w="2088"/>
            <w:vAlign w:val="center"/>
          </w:tcPr>
          <w:p>
            <w:pPr>
              <w:spacing w:after="20"/>
            </w:pPr>
            <w:r/>
            <w:r>
              <w:rPr>
                <w:rFonts w:ascii="Aptos" w:hAnsi="Aptos"/>
                <w:b w:val="0"/>
                <w:sz w:val="17"/>
              </w:rPr>
              <w:t>743</w:t>
            </w:r>
          </w:p>
        </w:tc>
        <w:tc>
          <w:tcPr>
            <w:tcW w:type="dxa" w:w="6336"/>
            <w:vAlign w:val="center"/>
          </w:tcPr>
          <w:p>
            <w:pPr>
              <w:spacing w:after="20"/>
            </w:pPr>
            <w:r/>
            <w:r>
              <w:rPr>
                <w:rFonts w:ascii="Aptos" w:hAnsi="Aptos"/>
                <w:b w:val="0"/>
                <w:sz w:val="17"/>
              </w:rPr>
              <w:t>The source contains 743 distinct step values.</w:t>
            </w:r>
          </w:p>
        </w:tc>
      </w:tr>
      <w:tr>
        <w:tc>
          <w:tcPr>
            <w:tcW w:type="dxa" w:w="2016"/>
            <w:vAlign w:val="center"/>
            <w:shd w:fill="F2F6FA"/>
          </w:tcPr>
          <w:p>
            <w:pPr>
              <w:spacing w:after="20"/>
            </w:pPr>
            <w:r/>
            <w:r>
              <w:rPr>
                <w:rFonts w:ascii="Aptos" w:hAnsi="Aptos"/>
                <w:b w:val="0"/>
                <w:sz w:val="17"/>
              </w:rPr>
              <w:t>Batch split</w:t>
            </w:r>
          </w:p>
        </w:tc>
        <w:tc>
          <w:tcPr>
            <w:tcW w:type="dxa" w:w="2088"/>
            <w:vAlign w:val="center"/>
            <w:shd w:fill="F2F6FA"/>
          </w:tcPr>
          <w:p>
            <w:pPr>
              <w:spacing w:after="20"/>
            </w:pPr>
            <w:r/>
            <w:r>
              <w:rPr>
                <w:rFonts w:ascii="Aptos" w:hAnsi="Aptos"/>
                <w:b w:val="0"/>
                <w:sz w:val="17"/>
              </w:rPr>
              <w:t>4 files</w:t>
            </w:r>
          </w:p>
        </w:tc>
        <w:tc>
          <w:tcPr>
            <w:tcW w:type="dxa" w:w="6336"/>
            <w:vAlign w:val="center"/>
            <w:shd w:fill="F2F6FA"/>
          </w:tcPr>
          <w:p>
            <w:pPr>
              <w:spacing w:after="20"/>
            </w:pPr>
            <w:r/>
            <w:r>
              <w:rPr>
                <w:rFonts w:ascii="Aptos" w:hAnsi="Aptos"/>
                <w:b w:val="0"/>
                <w:sz w:val="17"/>
              </w:rPr>
              <w:t>Sequential CSV batches were prepared for ingestion.</w:t>
            </w:r>
          </w:p>
        </w:tc>
      </w:tr>
    </w:tbl>
    <w:p/>
    <w:p>
      <w:r>
        <w:t>The full raw CSV and large batch files should remain outside source control. Any additional fields introduced for presentation or analysis must be documented as derived or synthetic rather than original PaySim fields.</w:t>
      </w:r>
    </w:p>
    <w:p>
      <w:pPr>
        <w:pStyle w:val="Heading1"/>
      </w:pPr>
      <w:r>
        <w:t>4. Architecture</w:t>
      </w:r>
    </w:p>
    <w:p>
      <w:pPr>
        <w:spacing w:before="40" w:after="120"/>
        <w:ind w:left="259"/>
      </w:pPr>
      <w:r>
        <w:rPr>
          <w:rFonts w:ascii="Consolas" w:hAnsi="Consolas"/>
          <w:color w:val="333333"/>
          <w:sz w:val="17"/>
        </w:rPr>
        <w:t>PaySim CSV</w:t>
        <w:br/>
        <w:t xml:space="preserve">   -&gt; local profiling and batch preparation</w:t>
        <w:br/>
        <w:t xml:space="preserve">   -&gt; Snowflake stage + file format + COPY INTO</w:t>
        <w:br/>
        <w:t xml:space="preserve">   -&gt; BRONZE_RAW (raw/source-aligned data)</w:t>
        <w:br/>
        <w:t xml:space="preserve">   -&gt; SILVER_CURATED (cleaned and transformed transactions)</w:t>
        <w:br/>
        <w:t xml:space="preserve">   -&gt; GOLD_ANALYTICS (business aggregates and analytical tables)</w:t>
        <w:br/>
        <w:t xml:space="preserve">   -&gt; Streamlit dashboard</w:t>
        <w:br/>
        <w:br/>
        <w:t>AUDIT schema: batch ingestion audit + task execution audit view</w:t>
      </w:r>
    </w:p>
    <w:p>
      <w:pPr>
        <w:pStyle w:val="Heading2"/>
      </w:pPr>
      <w:r>
        <w:t>4.1 Layer responsibilities</w:t>
      </w:r>
    </w:p>
    <w:tbl>
      <w:tblPr>
        <w:tblStyle w:val="TableGrid"/>
        <w:tblW w:type="auto" w:w="0"/>
        <w:jc w:val="center"/>
        <w:tblLook w:firstColumn="1" w:firstRow="1" w:lastColumn="0" w:lastRow="0" w:noHBand="0" w:noVBand="1" w:val="04A0"/>
      </w:tblPr>
      <w:tblGrid>
        <w:gridCol w:w="3312"/>
        <w:gridCol w:w="3312"/>
        <w:gridCol w:w="3312"/>
      </w:tblGrid>
      <w:tr>
        <w:tc>
          <w:tcPr>
            <w:tcW w:type="dxa" w:w="1152"/>
            <w:vAlign w:val="center"/>
            <w:shd w:fill="17365D"/>
          </w:tcPr>
          <w:p>
            <w:pPr>
              <w:spacing w:after="20"/>
            </w:pPr>
            <w:r/>
            <w:r>
              <w:rPr>
                <w:rFonts w:ascii="Aptos" w:hAnsi="Aptos"/>
                <w:b/>
                <w:color w:val="FFFFFF"/>
                <w:sz w:val="18"/>
              </w:rPr>
              <w:t>Layer</w:t>
            </w:r>
          </w:p>
        </w:tc>
        <w:tc>
          <w:tcPr>
            <w:tcW w:type="dxa" w:w="3744"/>
            <w:vAlign w:val="center"/>
            <w:shd w:fill="17365D"/>
          </w:tcPr>
          <w:p>
            <w:pPr>
              <w:spacing w:after="20"/>
            </w:pPr>
            <w:r/>
            <w:r>
              <w:rPr>
                <w:rFonts w:ascii="Aptos" w:hAnsi="Aptos"/>
                <w:b/>
                <w:color w:val="FFFFFF"/>
                <w:sz w:val="18"/>
              </w:rPr>
              <w:t>Schema / examples</w:t>
            </w:r>
          </w:p>
        </w:tc>
        <w:tc>
          <w:tcPr>
            <w:tcW w:type="dxa" w:w="5544"/>
            <w:vAlign w:val="center"/>
            <w:shd w:fill="17365D"/>
          </w:tcPr>
          <w:p>
            <w:pPr>
              <w:spacing w:after="20"/>
            </w:pPr>
            <w:r/>
            <w:r>
              <w:rPr>
                <w:rFonts w:ascii="Aptos" w:hAnsi="Aptos"/>
                <w:b/>
                <w:color w:val="FFFFFF"/>
                <w:sz w:val="18"/>
              </w:rPr>
              <w:t>Responsibility</w:t>
            </w:r>
          </w:p>
        </w:tc>
      </w:tr>
      <w:tr>
        <w:tc>
          <w:tcPr>
            <w:tcW w:type="dxa" w:w="1152"/>
            <w:vAlign w:val="center"/>
          </w:tcPr>
          <w:p>
            <w:pPr>
              <w:spacing w:after="20"/>
            </w:pPr>
            <w:r/>
            <w:r>
              <w:rPr>
                <w:rFonts w:ascii="Aptos" w:hAnsi="Aptos"/>
                <w:b w:val="0"/>
                <w:sz w:val="17"/>
              </w:rPr>
              <w:t>Bronze</w:t>
            </w:r>
          </w:p>
        </w:tc>
        <w:tc>
          <w:tcPr>
            <w:tcW w:type="dxa" w:w="3744"/>
            <w:vAlign w:val="center"/>
          </w:tcPr>
          <w:p>
            <w:pPr>
              <w:spacing w:after="20"/>
            </w:pPr>
            <w:r/>
            <w:r>
              <w:rPr>
                <w:rFonts w:ascii="Aptos" w:hAnsi="Aptos"/>
                <w:b w:val="0"/>
                <w:sz w:val="17"/>
              </w:rPr>
              <w:t>BRONZE_RAW.RAW_BRONZE_TABLE</w:t>
            </w:r>
          </w:p>
        </w:tc>
        <w:tc>
          <w:tcPr>
            <w:tcW w:type="dxa" w:w="5544"/>
            <w:vAlign w:val="center"/>
          </w:tcPr>
          <w:p>
            <w:pPr>
              <w:spacing w:after="20"/>
            </w:pPr>
            <w:r/>
            <w:r>
              <w:rPr>
                <w:rFonts w:ascii="Aptos" w:hAnsi="Aptos"/>
                <w:b w:val="0"/>
                <w:sz w:val="17"/>
              </w:rPr>
              <w:t>Raw ingested transaction records and ingestion objects.</w:t>
            </w:r>
          </w:p>
        </w:tc>
      </w:tr>
      <w:tr>
        <w:tc>
          <w:tcPr>
            <w:tcW w:type="dxa" w:w="1152"/>
            <w:vAlign w:val="center"/>
            <w:shd w:fill="F2F6FA"/>
          </w:tcPr>
          <w:p>
            <w:pPr>
              <w:spacing w:after="20"/>
            </w:pPr>
            <w:r/>
            <w:r>
              <w:rPr>
                <w:rFonts w:ascii="Aptos" w:hAnsi="Aptos"/>
                <w:b w:val="0"/>
                <w:sz w:val="17"/>
              </w:rPr>
              <w:t>Silver</w:t>
            </w:r>
          </w:p>
        </w:tc>
        <w:tc>
          <w:tcPr>
            <w:tcW w:type="dxa" w:w="3744"/>
            <w:vAlign w:val="center"/>
            <w:shd w:fill="F2F6FA"/>
          </w:tcPr>
          <w:p>
            <w:pPr>
              <w:spacing w:after="20"/>
            </w:pPr>
            <w:r/>
            <w:r>
              <w:rPr>
                <w:rFonts w:ascii="Aptos" w:hAnsi="Aptos"/>
                <w:b w:val="0"/>
                <w:sz w:val="17"/>
              </w:rPr>
              <w:t>SILVER_CURATED.TRANSACTIONS_CLEAN</w:t>
            </w:r>
          </w:p>
        </w:tc>
        <w:tc>
          <w:tcPr>
            <w:tcW w:type="dxa" w:w="5544"/>
            <w:vAlign w:val="center"/>
            <w:shd w:fill="F2F6FA"/>
          </w:tcPr>
          <w:p>
            <w:pPr>
              <w:spacing w:after="20"/>
            </w:pPr>
            <w:r/>
            <w:r>
              <w:rPr>
                <w:rFonts w:ascii="Aptos" w:hAnsi="Aptos"/>
                <w:b w:val="0"/>
                <w:sz w:val="17"/>
              </w:rPr>
              <w:t>Curated transaction data used for analysis and downstream processing.</w:t>
            </w:r>
          </w:p>
        </w:tc>
      </w:tr>
      <w:tr>
        <w:tc>
          <w:tcPr>
            <w:tcW w:type="dxa" w:w="1152"/>
            <w:vAlign w:val="center"/>
          </w:tcPr>
          <w:p>
            <w:pPr>
              <w:spacing w:after="20"/>
            </w:pPr>
            <w:r/>
            <w:r>
              <w:rPr>
                <w:rFonts w:ascii="Aptos" w:hAnsi="Aptos"/>
                <w:b w:val="0"/>
                <w:sz w:val="17"/>
              </w:rPr>
              <w:t>Gold</w:t>
            </w:r>
          </w:p>
        </w:tc>
        <w:tc>
          <w:tcPr>
            <w:tcW w:type="dxa" w:w="3744"/>
            <w:vAlign w:val="center"/>
          </w:tcPr>
          <w:p>
            <w:pPr>
              <w:spacing w:after="20"/>
            </w:pPr>
            <w:r/>
            <w:r>
              <w:rPr>
                <w:rFonts w:ascii="Aptos" w:hAnsi="Aptos"/>
                <w:b w:val="0"/>
                <w:sz w:val="17"/>
              </w:rPr>
              <w:t>GOLD_ANALYTICS.GOLD_TRANSACTION_SUMMARY; GOLD_FRAUD_ANALYTICS; GOLD_STEP_ANALYTICS</w:t>
            </w:r>
          </w:p>
        </w:tc>
        <w:tc>
          <w:tcPr>
            <w:tcW w:type="dxa" w:w="5544"/>
            <w:vAlign w:val="center"/>
          </w:tcPr>
          <w:p>
            <w:pPr>
              <w:spacing w:after="20"/>
            </w:pPr>
            <w:r/>
            <w:r>
              <w:rPr>
                <w:rFonts w:ascii="Aptos" w:hAnsi="Aptos"/>
                <w:b w:val="0"/>
                <w:sz w:val="17"/>
              </w:rPr>
              <w:t>Aggregated and dashboard-oriented analytics.</w:t>
            </w:r>
          </w:p>
        </w:tc>
      </w:tr>
      <w:tr>
        <w:tc>
          <w:tcPr>
            <w:tcW w:type="dxa" w:w="1152"/>
            <w:vAlign w:val="center"/>
            <w:shd w:fill="F2F6FA"/>
          </w:tcPr>
          <w:p>
            <w:pPr>
              <w:spacing w:after="20"/>
            </w:pPr>
            <w:r/>
            <w:r>
              <w:rPr>
                <w:rFonts w:ascii="Aptos" w:hAnsi="Aptos"/>
                <w:b w:val="0"/>
                <w:sz w:val="17"/>
              </w:rPr>
              <w:t>Audit</w:t>
            </w:r>
          </w:p>
        </w:tc>
        <w:tc>
          <w:tcPr>
            <w:tcW w:type="dxa" w:w="3744"/>
            <w:vAlign w:val="center"/>
            <w:shd w:fill="F2F6FA"/>
          </w:tcPr>
          <w:p>
            <w:pPr>
              <w:spacing w:after="20"/>
            </w:pPr>
            <w:r/>
            <w:r>
              <w:rPr>
                <w:rFonts w:ascii="Aptos" w:hAnsi="Aptos"/>
                <w:b w:val="0"/>
                <w:sz w:val="17"/>
              </w:rPr>
              <w:t>AUDIT.BATCH_AUDIT_LOG; AUDIT.VW_TASK_EXECUTION_AUDIT</w:t>
            </w:r>
          </w:p>
        </w:tc>
        <w:tc>
          <w:tcPr>
            <w:tcW w:type="dxa" w:w="5544"/>
            <w:vAlign w:val="center"/>
            <w:shd w:fill="F2F6FA"/>
          </w:tcPr>
          <w:p>
            <w:pPr>
              <w:spacing w:after="20"/>
            </w:pPr>
            <w:r/>
            <w:r>
              <w:rPr>
                <w:rFonts w:ascii="Aptos" w:hAnsi="Aptos"/>
                <w:b w:val="0"/>
                <w:sz w:val="17"/>
              </w:rPr>
              <w:t>Batch load reconciliation and read-only task execution monitoring.</w:t>
            </w:r>
          </w:p>
        </w:tc>
      </w:tr>
    </w:tbl>
    <w:p/>
    <w:p>
      <w:pPr>
        <w:pStyle w:val="Heading2"/>
      </w:pPr>
      <w:r>
        <w:t>4.2 Key Snowflake objects</w:t>
      </w:r>
    </w:p>
    <w:tbl>
      <w:tblPr>
        <w:tblStyle w:val="TableGrid"/>
        <w:tblW w:type="auto" w:w="0"/>
        <w:jc w:val="center"/>
        <w:tblLook w:firstColumn="1" w:firstRow="1" w:lastColumn="0" w:lastRow="0" w:noHBand="0" w:noVBand="1" w:val="04A0"/>
      </w:tblPr>
      <w:tblGrid>
        <w:gridCol w:w="4968"/>
        <w:gridCol w:w="4968"/>
      </w:tblGrid>
      <w:tr>
        <w:tc>
          <w:tcPr>
            <w:tcW w:type="dxa" w:w="5400"/>
            <w:vAlign w:val="center"/>
            <w:shd w:fill="17365D"/>
          </w:tcPr>
          <w:p>
            <w:pPr>
              <w:spacing w:after="20"/>
            </w:pPr>
            <w:r/>
            <w:r>
              <w:rPr>
                <w:rFonts w:ascii="Aptos" w:hAnsi="Aptos"/>
                <w:b/>
                <w:color w:val="FFFFFF"/>
                <w:sz w:val="18"/>
              </w:rPr>
              <w:t>Object</w:t>
            </w:r>
          </w:p>
        </w:tc>
        <w:tc>
          <w:tcPr>
            <w:tcW w:type="dxa" w:w="5040"/>
            <w:vAlign w:val="center"/>
            <w:shd w:fill="17365D"/>
          </w:tcPr>
          <w:p>
            <w:pPr>
              <w:spacing w:after="20"/>
            </w:pPr>
            <w:r/>
            <w:r>
              <w:rPr>
                <w:rFonts w:ascii="Aptos" w:hAnsi="Aptos"/>
                <w:b/>
                <w:color w:val="FFFFFF"/>
                <w:sz w:val="18"/>
              </w:rPr>
              <w:t>Purpose / notes</w:t>
            </w:r>
          </w:p>
        </w:tc>
      </w:tr>
      <w:tr>
        <w:tc>
          <w:tcPr>
            <w:tcW w:type="dxa" w:w="5400"/>
            <w:vAlign w:val="center"/>
          </w:tcPr>
          <w:p>
            <w:pPr>
              <w:spacing w:after="20"/>
            </w:pPr>
            <w:r/>
            <w:r>
              <w:rPr>
                <w:rFonts w:ascii="Aptos" w:hAnsi="Aptos"/>
                <w:b w:val="0"/>
                <w:sz w:val="17"/>
              </w:rPr>
              <w:t>FINANCIAL_LAKEHOUSE_DB.BRONZE_RAW.RAW_BRONZE_TABLE</w:t>
            </w:r>
          </w:p>
        </w:tc>
        <w:tc>
          <w:tcPr>
            <w:tcW w:type="dxa" w:w="5040"/>
            <w:vAlign w:val="center"/>
          </w:tcPr>
          <w:p>
            <w:pPr>
              <w:spacing w:after="20"/>
            </w:pPr>
            <w:r/>
            <w:r>
              <w:rPr>
                <w:rFonts w:ascii="Aptos" w:hAnsi="Aptos"/>
                <w:b w:val="0"/>
                <w:sz w:val="17"/>
              </w:rPr>
              <w:t>Bronze landing table for source transaction data.</w:t>
            </w:r>
          </w:p>
        </w:tc>
      </w:tr>
      <w:tr>
        <w:tc>
          <w:tcPr>
            <w:tcW w:type="dxa" w:w="5400"/>
            <w:vAlign w:val="center"/>
            <w:shd w:fill="F2F6FA"/>
          </w:tcPr>
          <w:p>
            <w:pPr>
              <w:spacing w:after="20"/>
            </w:pPr>
            <w:r/>
            <w:r>
              <w:rPr>
                <w:rFonts w:ascii="Aptos" w:hAnsi="Aptos"/>
                <w:b w:val="0"/>
                <w:sz w:val="17"/>
              </w:rPr>
              <w:t>FINANCIAL_LAKEHOUSE_DB.SILVER_CURATED.TRANSACTIONS_CLEAN</w:t>
            </w:r>
          </w:p>
        </w:tc>
        <w:tc>
          <w:tcPr>
            <w:tcW w:type="dxa" w:w="5040"/>
            <w:vAlign w:val="center"/>
            <w:shd w:fill="F2F6FA"/>
          </w:tcPr>
          <w:p>
            <w:pPr>
              <w:spacing w:after="20"/>
            </w:pPr>
            <w:r/>
            <w:r>
              <w:rPr>
                <w:rFonts w:ascii="Aptos" w:hAnsi="Aptos"/>
                <w:b w:val="0"/>
                <w:sz w:val="17"/>
              </w:rPr>
              <w:t>Curated transaction target.</w:t>
            </w:r>
          </w:p>
        </w:tc>
      </w:tr>
      <w:tr>
        <w:tc>
          <w:tcPr>
            <w:tcW w:type="dxa" w:w="5400"/>
            <w:vAlign w:val="center"/>
          </w:tcPr>
          <w:p>
            <w:pPr>
              <w:spacing w:after="20"/>
            </w:pPr>
            <w:r/>
            <w:r>
              <w:rPr>
                <w:rFonts w:ascii="Aptos" w:hAnsi="Aptos"/>
                <w:b w:val="0"/>
                <w:sz w:val="17"/>
              </w:rPr>
              <w:t>FINANCIAL_LAKEHOUSE_DB.GOLD_ANALYTICS.GOLD_TRANSACTION_SUMMARY</w:t>
            </w:r>
          </w:p>
        </w:tc>
        <w:tc>
          <w:tcPr>
            <w:tcW w:type="dxa" w:w="5040"/>
            <w:vAlign w:val="center"/>
          </w:tcPr>
          <w:p>
            <w:pPr>
              <w:spacing w:after="20"/>
            </w:pPr>
            <w:r/>
            <w:r>
              <w:rPr>
                <w:rFonts w:ascii="Aptos" w:hAnsi="Aptos"/>
                <w:b w:val="0"/>
                <w:sz w:val="17"/>
              </w:rPr>
              <w:t>Transaction summary analytics.</w:t>
            </w:r>
          </w:p>
        </w:tc>
      </w:tr>
      <w:tr>
        <w:tc>
          <w:tcPr>
            <w:tcW w:type="dxa" w:w="5400"/>
            <w:vAlign w:val="center"/>
            <w:shd w:fill="F2F6FA"/>
          </w:tcPr>
          <w:p>
            <w:pPr>
              <w:spacing w:after="20"/>
            </w:pPr>
            <w:r/>
            <w:r>
              <w:rPr>
                <w:rFonts w:ascii="Aptos" w:hAnsi="Aptos"/>
                <w:b w:val="0"/>
                <w:sz w:val="17"/>
              </w:rPr>
              <w:t>FINANCIAL_LAKEHOUSE_DB.GOLD_ANALYTICS.GOLD_FRAUD_ANALYTICS</w:t>
            </w:r>
          </w:p>
        </w:tc>
        <w:tc>
          <w:tcPr>
            <w:tcW w:type="dxa" w:w="5040"/>
            <w:vAlign w:val="center"/>
            <w:shd w:fill="F2F6FA"/>
          </w:tcPr>
          <w:p>
            <w:pPr>
              <w:spacing w:after="20"/>
            </w:pPr>
            <w:r/>
            <w:r>
              <w:rPr>
                <w:rFonts w:ascii="Aptos" w:hAnsi="Aptos"/>
                <w:b w:val="0"/>
                <w:sz w:val="17"/>
              </w:rPr>
              <w:t>Fraud-label and transaction analytics.</w:t>
            </w:r>
          </w:p>
        </w:tc>
      </w:tr>
      <w:tr>
        <w:tc>
          <w:tcPr>
            <w:tcW w:type="dxa" w:w="5400"/>
            <w:vAlign w:val="center"/>
          </w:tcPr>
          <w:p>
            <w:pPr>
              <w:spacing w:after="20"/>
            </w:pPr>
            <w:r/>
            <w:r>
              <w:rPr>
                <w:rFonts w:ascii="Aptos" w:hAnsi="Aptos"/>
                <w:b w:val="0"/>
                <w:sz w:val="17"/>
              </w:rPr>
              <w:t>FINANCIAL_LAKEHOUSE_DB.GOLD_ANALYTICS.GOLD_STEP_ANALYTICS</w:t>
            </w:r>
          </w:p>
        </w:tc>
        <w:tc>
          <w:tcPr>
            <w:tcW w:type="dxa" w:w="5040"/>
            <w:vAlign w:val="center"/>
          </w:tcPr>
          <w:p>
            <w:pPr>
              <w:spacing w:after="20"/>
            </w:pPr>
            <w:r/>
            <w:r>
              <w:rPr>
                <w:rFonts w:ascii="Aptos" w:hAnsi="Aptos"/>
                <w:b w:val="0"/>
                <w:sz w:val="17"/>
              </w:rPr>
              <w:t>Step/time-step aggregate analytics.</w:t>
            </w:r>
          </w:p>
        </w:tc>
      </w:tr>
      <w:tr>
        <w:tc>
          <w:tcPr>
            <w:tcW w:type="dxa" w:w="5400"/>
            <w:vAlign w:val="center"/>
            <w:shd w:fill="F2F6FA"/>
          </w:tcPr>
          <w:p>
            <w:pPr>
              <w:spacing w:after="20"/>
            </w:pPr>
            <w:r/>
            <w:r>
              <w:rPr>
                <w:rFonts w:ascii="Aptos" w:hAnsi="Aptos"/>
                <w:b w:val="0"/>
                <w:sz w:val="17"/>
              </w:rPr>
              <w:t>FINANCIAL_LAKEHOUSE_DB.AUDIT.BATCH_AUDIT_LOG</w:t>
            </w:r>
          </w:p>
        </w:tc>
        <w:tc>
          <w:tcPr>
            <w:tcW w:type="dxa" w:w="5040"/>
            <w:vAlign w:val="center"/>
            <w:shd w:fill="F2F6FA"/>
          </w:tcPr>
          <w:p>
            <w:pPr>
              <w:spacing w:after="20"/>
            </w:pPr>
            <w:r/>
            <w:r>
              <w:rPr>
                <w:rFonts w:ascii="Aptos" w:hAnsi="Aptos"/>
                <w:b w:val="0"/>
                <w:sz w:val="17"/>
              </w:rPr>
              <w:t>Batch-level audit records.</w:t>
            </w:r>
          </w:p>
        </w:tc>
      </w:tr>
      <w:tr>
        <w:tc>
          <w:tcPr>
            <w:tcW w:type="dxa" w:w="5400"/>
            <w:vAlign w:val="center"/>
          </w:tcPr>
          <w:p>
            <w:pPr>
              <w:spacing w:after="20"/>
            </w:pPr>
            <w:r/>
            <w:r>
              <w:rPr>
                <w:rFonts w:ascii="Aptos" w:hAnsi="Aptos"/>
                <w:b w:val="0"/>
                <w:sz w:val="17"/>
              </w:rPr>
              <w:t>FINANCIAL_LAKEHOUSE_DB.AUDIT.VW_TASK_EXECUTION_AUDIT</w:t>
            </w:r>
          </w:p>
        </w:tc>
        <w:tc>
          <w:tcPr>
            <w:tcW w:type="dxa" w:w="5040"/>
            <w:vAlign w:val="center"/>
          </w:tcPr>
          <w:p>
            <w:pPr>
              <w:spacing w:after="20"/>
            </w:pPr>
            <w:r/>
            <w:r>
              <w:rPr>
                <w:rFonts w:ascii="Aptos" w:hAnsi="Aptos"/>
                <w:b w:val="0"/>
                <w:sz w:val="17"/>
              </w:rPr>
              <w:t>Task history view for monitoring.</w:t>
            </w:r>
          </w:p>
        </w:tc>
      </w:tr>
      <w:tr>
        <w:tc>
          <w:tcPr>
            <w:tcW w:type="dxa" w:w="5400"/>
            <w:vAlign w:val="center"/>
            <w:shd w:fill="F2F6FA"/>
          </w:tcPr>
          <w:p>
            <w:pPr>
              <w:spacing w:after="20"/>
            </w:pPr>
            <w:r/>
            <w:r>
              <w:rPr>
                <w:rFonts w:ascii="Aptos" w:hAnsi="Aptos"/>
                <w:b w:val="0"/>
                <w:sz w:val="17"/>
              </w:rPr>
              <w:t>FINANCIAL_LAKEHOUSE_DB.BRONZE_RAW.RAW_BRONZE_STREAM</w:t>
            </w:r>
          </w:p>
        </w:tc>
        <w:tc>
          <w:tcPr>
            <w:tcW w:type="dxa" w:w="5040"/>
            <w:vAlign w:val="center"/>
            <w:shd w:fill="F2F6FA"/>
          </w:tcPr>
          <w:p>
            <w:pPr>
              <w:spacing w:after="20"/>
            </w:pPr>
            <w:r/>
            <w:r>
              <w:rPr>
                <w:rFonts w:ascii="Aptos" w:hAnsi="Aptos"/>
                <w:b w:val="0"/>
                <w:sz w:val="17"/>
              </w:rPr>
              <w:t>Stream that captures changes to the Bronze table from its offset.</w:t>
            </w:r>
          </w:p>
        </w:tc>
      </w:tr>
      <w:tr>
        <w:tc>
          <w:tcPr>
            <w:tcW w:type="dxa" w:w="5400"/>
            <w:vAlign w:val="center"/>
          </w:tcPr>
          <w:p>
            <w:pPr>
              <w:spacing w:after="20"/>
            </w:pPr>
            <w:r/>
            <w:r>
              <w:rPr>
                <w:rFonts w:ascii="Aptos" w:hAnsi="Aptos"/>
                <w:b w:val="0"/>
                <w:sz w:val="17"/>
              </w:rPr>
              <w:t>FINANCIAL_LAKEHOUSE_DB.BRONZE_RAW.PROCESS_BRONZE_STREAM_TASK</w:t>
            </w:r>
          </w:p>
        </w:tc>
        <w:tc>
          <w:tcPr>
            <w:tcW w:type="dxa" w:w="5040"/>
            <w:vAlign w:val="center"/>
          </w:tcPr>
          <w:p>
            <w:pPr>
              <w:spacing w:after="20"/>
            </w:pPr>
            <w:r/>
            <w:r>
              <w:rPr>
                <w:rFonts w:ascii="Aptos" w:hAnsi="Aptos"/>
                <w:b w:val="0"/>
                <w:sz w:val="17"/>
              </w:rPr>
              <w:t>Scheduled Task that processes stream changes into Silver.</w:t>
            </w:r>
          </w:p>
        </w:tc>
      </w:tr>
      <w:tr>
        <w:tc>
          <w:tcPr>
            <w:tcW w:type="dxa" w:w="5400"/>
            <w:vAlign w:val="center"/>
            <w:shd w:fill="F2F6FA"/>
          </w:tcPr>
          <w:p>
            <w:pPr>
              <w:spacing w:after="20"/>
            </w:pPr>
            <w:r/>
            <w:r>
              <w:rPr>
                <w:rFonts w:ascii="Aptos" w:hAnsi="Aptos"/>
                <w:b w:val="0"/>
                <w:sz w:val="17"/>
              </w:rPr>
              <w:t>FINANCIAL_LAKEHOUSE_DB.BRONZE_RAW.RAW_STAGE</w:t>
            </w:r>
          </w:p>
        </w:tc>
        <w:tc>
          <w:tcPr>
            <w:tcW w:type="dxa" w:w="5040"/>
            <w:vAlign w:val="center"/>
            <w:shd w:fill="F2F6FA"/>
          </w:tcPr>
          <w:p>
            <w:pPr>
              <w:spacing w:after="20"/>
            </w:pPr>
            <w:r/>
            <w:r>
              <w:rPr>
                <w:rFonts w:ascii="Aptos" w:hAnsi="Aptos"/>
                <w:b w:val="0"/>
                <w:sz w:val="17"/>
              </w:rPr>
              <w:t>Stage used in the ingestion workflow.</w:t>
            </w:r>
          </w:p>
        </w:tc>
      </w:tr>
    </w:tbl>
    <w:p/>
    <w:p>
      <w:pPr>
        <w:pStyle w:val="Heading1"/>
      </w:pPr>
      <w:r>
        <w:t>5. Data ingestion and known reconciliation results</w:t>
      </w:r>
    </w:p>
    <w:p>
      <w:r>
        <w:t>Four CSV batches are recorded in the audit results. Each batch's row count matched the corresponding Snowflake load-history count, and each load status was reported as LOADED.</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088"/>
            <w:vAlign w:val="center"/>
            <w:shd w:fill="17365D"/>
          </w:tcPr>
          <w:p>
            <w:pPr>
              <w:spacing w:after="20"/>
            </w:pPr>
            <w:r/>
            <w:r>
              <w:rPr>
                <w:rFonts w:ascii="Aptos" w:hAnsi="Aptos"/>
                <w:b/>
                <w:color w:val="FFFFFF"/>
                <w:sz w:val="18"/>
              </w:rPr>
              <w:t>Batch file</w:t>
            </w:r>
          </w:p>
        </w:tc>
        <w:tc>
          <w:tcPr>
            <w:tcW w:type="dxa" w:w="1944"/>
            <w:vAlign w:val="center"/>
            <w:shd w:fill="17365D"/>
          </w:tcPr>
          <w:p>
            <w:pPr>
              <w:spacing w:after="20"/>
            </w:pPr>
            <w:r/>
            <w:r>
              <w:rPr>
                <w:rFonts w:ascii="Aptos" w:hAnsi="Aptos"/>
                <w:b/>
                <w:color w:val="FFFFFF"/>
                <w:sz w:val="18"/>
              </w:rPr>
              <w:t>Rows</w:t>
            </w:r>
          </w:p>
        </w:tc>
        <w:tc>
          <w:tcPr>
            <w:tcW w:type="dxa" w:w="2088"/>
            <w:vAlign w:val="center"/>
            <w:shd w:fill="17365D"/>
          </w:tcPr>
          <w:p>
            <w:pPr>
              <w:spacing w:after="20"/>
            </w:pPr>
            <w:r/>
            <w:r>
              <w:rPr>
                <w:rFonts w:ascii="Aptos" w:hAnsi="Aptos"/>
                <w:b/>
                <w:color w:val="FFFFFF"/>
                <w:sz w:val="18"/>
              </w:rPr>
              <w:t>Load status</w:t>
            </w:r>
          </w:p>
        </w:tc>
        <w:tc>
          <w:tcPr>
            <w:tcW w:type="dxa" w:w="4248"/>
            <w:vAlign w:val="center"/>
            <w:shd w:fill="17365D"/>
          </w:tcPr>
          <w:p>
            <w:pPr>
              <w:spacing w:after="20"/>
            </w:pPr>
            <w:r/>
            <w:r>
              <w:rPr>
                <w:rFonts w:ascii="Aptos" w:hAnsi="Aptos"/>
                <w:b/>
                <w:color w:val="FFFFFF"/>
                <w:sz w:val="18"/>
              </w:rPr>
              <w:t>Reconciliation</w:t>
            </w:r>
          </w:p>
        </w:tc>
      </w:tr>
      <w:tr>
        <w:tc>
          <w:tcPr>
            <w:tcW w:type="dxa" w:w="2088"/>
            <w:vAlign w:val="center"/>
          </w:tcPr>
          <w:p>
            <w:pPr>
              <w:spacing w:after="20"/>
            </w:pPr>
            <w:r/>
            <w:r>
              <w:rPr>
                <w:rFonts w:ascii="Aptos" w:hAnsi="Aptos"/>
                <w:b w:val="0"/>
                <w:sz w:val="17"/>
              </w:rPr>
              <w:t>batch_001.csv</w:t>
            </w:r>
          </w:p>
        </w:tc>
        <w:tc>
          <w:tcPr>
            <w:tcW w:type="dxa" w:w="1944"/>
            <w:vAlign w:val="center"/>
          </w:tcPr>
          <w:p>
            <w:pPr>
              <w:spacing w:after="20"/>
            </w:pPr>
            <w:r/>
            <w:r>
              <w:rPr>
                <w:rFonts w:ascii="Aptos" w:hAnsi="Aptos"/>
                <w:b w:val="0"/>
                <w:sz w:val="17"/>
              </w:rPr>
              <w:t>1,059,516</w:t>
            </w:r>
          </w:p>
        </w:tc>
        <w:tc>
          <w:tcPr>
            <w:tcW w:type="dxa" w:w="2088"/>
            <w:vAlign w:val="center"/>
          </w:tcPr>
          <w:p>
            <w:pPr>
              <w:spacing w:after="20"/>
            </w:pPr>
            <w:r/>
            <w:r>
              <w:rPr>
                <w:rFonts w:ascii="Aptos" w:hAnsi="Aptos"/>
                <w:b w:val="0"/>
                <w:sz w:val="17"/>
              </w:rPr>
              <w:t>LOADED</w:t>
            </w:r>
          </w:p>
        </w:tc>
        <w:tc>
          <w:tcPr>
            <w:tcW w:type="dxa" w:w="4248"/>
            <w:vAlign w:val="center"/>
          </w:tcPr>
          <w:p>
            <w:pPr>
              <w:spacing w:after="20"/>
            </w:pPr>
            <w:r/>
            <w:r>
              <w:rPr>
                <w:rFonts w:ascii="Aptos" w:hAnsi="Aptos"/>
                <w:b w:val="0"/>
                <w:sz w:val="17"/>
              </w:rPr>
              <w:t>Matches load history</w:t>
            </w:r>
          </w:p>
        </w:tc>
      </w:tr>
      <w:tr>
        <w:tc>
          <w:tcPr>
            <w:tcW w:type="dxa" w:w="2088"/>
            <w:vAlign w:val="center"/>
            <w:shd w:fill="F2F6FA"/>
          </w:tcPr>
          <w:p>
            <w:pPr>
              <w:spacing w:after="20"/>
            </w:pPr>
            <w:r/>
            <w:r>
              <w:rPr>
                <w:rFonts w:ascii="Aptos" w:hAnsi="Aptos"/>
                <w:b w:val="0"/>
                <w:sz w:val="17"/>
              </w:rPr>
              <w:t>batch_002.csv</w:t>
            </w:r>
          </w:p>
        </w:tc>
        <w:tc>
          <w:tcPr>
            <w:tcW w:type="dxa" w:w="1944"/>
            <w:vAlign w:val="center"/>
            <w:shd w:fill="F2F6FA"/>
          </w:tcPr>
          <w:p>
            <w:pPr>
              <w:spacing w:after="20"/>
            </w:pPr>
            <w:r/>
            <w:r>
              <w:rPr>
                <w:rFonts w:ascii="Aptos" w:hAnsi="Aptos"/>
                <w:b w:val="0"/>
                <w:sz w:val="17"/>
              </w:rPr>
              <w:t>1,322,666</w:t>
            </w:r>
          </w:p>
        </w:tc>
        <w:tc>
          <w:tcPr>
            <w:tcW w:type="dxa" w:w="2088"/>
            <w:vAlign w:val="center"/>
            <w:shd w:fill="F2F6FA"/>
          </w:tcPr>
          <w:p>
            <w:pPr>
              <w:spacing w:after="20"/>
            </w:pPr>
            <w:r/>
            <w:r>
              <w:rPr>
                <w:rFonts w:ascii="Aptos" w:hAnsi="Aptos"/>
                <w:b w:val="0"/>
                <w:sz w:val="17"/>
              </w:rPr>
              <w:t>LOADED</w:t>
            </w:r>
          </w:p>
        </w:tc>
        <w:tc>
          <w:tcPr>
            <w:tcW w:type="dxa" w:w="4248"/>
            <w:vAlign w:val="center"/>
            <w:shd w:fill="F2F6FA"/>
          </w:tcPr>
          <w:p>
            <w:pPr>
              <w:spacing w:after="20"/>
            </w:pPr>
            <w:r/>
            <w:r>
              <w:rPr>
                <w:rFonts w:ascii="Aptos" w:hAnsi="Aptos"/>
                <w:b w:val="0"/>
                <w:sz w:val="17"/>
              </w:rPr>
              <w:t>Matches load history</w:t>
            </w:r>
          </w:p>
        </w:tc>
      </w:tr>
      <w:tr>
        <w:tc>
          <w:tcPr>
            <w:tcW w:type="dxa" w:w="2088"/>
            <w:vAlign w:val="center"/>
          </w:tcPr>
          <w:p>
            <w:pPr>
              <w:spacing w:after="20"/>
            </w:pPr>
            <w:r/>
            <w:r>
              <w:rPr>
                <w:rFonts w:ascii="Aptos" w:hAnsi="Aptos"/>
                <w:b w:val="0"/>
                <w:sz w:val="17"/>
              </w:rPr>
              <w:t>batch_003.csv</w:t>
            </w:r>
          </w:p>
        </w:tc>
        <w:tc>
          <w:tcPr>
            <w:tcW w:type="dxa" w:w="1944"/>
            <w:vAlign w:val="center"/>
          </w:tcPr>
          <w:p>
            <w:pPr>
              <w:spacing w:after="20"/>
            </w:pPr>
            <w:r/>
            <w:r>
              <w:rPr>
                <w:rFonts w:ascii="Aptos" w:hAnsi="Aptos"/>
                <w:b w:val="0"/>
                <w:sz w:val="17"/>
              </w:rPr>
              <w:t>1,691,468</w:t>
            </w:r>
          </w:p>
        </w:tc>
        <w:tc>
          <w:tcPr>
            <w:tcW w:type="dxa" w:w="2088"/>
            <w:vAlign w:val="center"/>
          </w:tcPr>
          <w:p>
            <w:pPr>
              <w:spacing w:after="20"/>
            </w:pPr>
            <w:r/>
            <w:r>
              <w:rPr>
                <w:rFonts w:ascii="Aptos" w:hAnsi="Aptos"/>
                <w:b w:val="0"/>
                <w:sz w:val="17"/>
              </w:rPr>
              <w:t>LOADED</w:t>
            </w:r>
          </w:p>
        </w:tc>
        <w:tc>
          <w:tcPr>
            <w:tcW w:type="dxa" w:w="4248"/>
            <w:vAlign w:val="center"/>
          </w:tcPr>
          <w:p>
            <w:pPr>
              <w:spacing w:after="20"/>
            </w:pPr>
            <w:r/>
            <w:r>
              <w:rPr>
                <w:rFonts w:ascii="Aptos" w:hAnsi="Aptos"/>
                <w:b w:val="0"/>
                <w:sz w:val="17"/>
              </w:rPr>
              <w:t>Matches load history</w:t>
            </w:r>
          </w:p>
        </w:tc>
      </w:tr>
      <w:tr>
        <w:tc>
          <w:tcPr>
            <w:tcW w:type="dxa" w:w="2088"/>
            <w:vAlign w:val="center"/>
            <w:shd w:fill="F2F6FA"/>
          </w:tcPr>
          <w:p>
            <w:pPr>
              <w:spacing w:after="20"/>
            </w:pPr>
            <w:r/>
            <w:r>
              <w:rPr>
                <w:rFonts w:ascii="Aptos" w:hAnsi="Aptos"/>
                <w:b w:val="0"/>
                <w:sz w:val="17"/>
              </w:rPr>
              <w:t>batch_004.csv</w:t>
            </w:r>
          </w:p>
        </w:tc>
        <w:tc>
          <w:tcPr>
            <w:tcW w:type="dxa" w:w="1944"/>
            <w:vAlign w:val="center"/>
            <w:shd w:fill="F2F6FA"/>
          </w:tcPr>
          <w:p>
            <w:pPr>
              <w:spacing w:after="20"/>
            </w:pPr>
            <w:r/>
            <w:r>
              <w:rPr>
                <w:rFonts w:ascii="Aptos" w:hAnsi="Aptos"/>
                <w:b w:val="0"/>
                <w:sz w:val="17"/>
              </w:rPr>
              <w:t>2,288,970</w:t>
            </w:r>
          </w:p>
        </w:tc>
        <w:tc>
          <w:tcPr>
            <w:tcW w:type="dxa" w:w="2088"/>
            <w:vAlign w:val="center"/>
            <w:shd w:fill="F2F6FA"/>
          </w:tcPr>
          <w:p>
            <w:pPr>
              <w:spacing w:after="20"/>
            </w:pPr>
            <w:r/>
            <w:r>
              <w:rPr>
                <w:rFonts w:ascii="Aptos" w:hAnsi="Aptos"/>
                <w:b w:val="0"/>
                <w:sz w:val="17"/>
              </w:rPr>
              <w:t>LOADED</w:t>
            </w:r>
          </w:p>
        </w:tc>
        <w:tc>
          <w:tcPr>
            <w:tcW w:type="dxa" w:w="4248"/>
            <w:vAlign w:val="center"/>
            <w:shd w:fill="F2F6FA"/>
          </w:tcPr>
          <w:p>
            <w:pPr>
              <w:spacing w:after="20"/>
            </w:pPr>
            <w:r/>
            <w:r>
              <w:rPr>
                <w:rFonts w:ascii="Aptos" w:hAnsi="Aptos"/>
                <w:b w:val="0"/>
                <w:sz w:val="17"/>
              </w:rPr>
              <w:t>Matches load history</w:t>
            </w:r>
          </w:p>
        </w:tc>
      </w:tr>
      <w:tr>
        <w:tc>
          <w:tcPr>
            <w:tcW w:type="dxa" w:w="2088"/>
            <w:vAlign w:val="center"/>
          </w:tcPr>
          <w:p>
            <w:pPr>
              <w:spacing w:after="20"/>
            </w:pPr>
            <w:r/>
            <w:r>
              <w:rPr>
                <w:rFonts w:ascii="Aptos" w:hAnsi="Aptos"/>
                <w:b w:val="0"/>
                <w:sz w:val="17"/>
              </w:rPr>
              <w:t>Total</w:t>
            </w:r>
          </w:p>
        </w:tc>
        <w:tc>
          <w:tcPr>
            <w:tcW w:type="dxa" w:w="1944"/>
            <w:vAlign w:val="center"/>
          </w:tcPr>
          <w:p>
            <w:pPr>
              <w:spacing w:after="20"/>
            </w:pPr>
            <w:r/>
            <w:r>
              <w:rPr>
                <w:rFonts w:ascii="Aptos" w:hAnsi="Aptos"/>
                <w:b w:val="0"/>
                <w:sz w:val="17"/>
              </w:rPr>
              <w:t>6,362,620</w:t>
            </w:r>
          </w:p>
        </w:tc>
        <w:tc>
          <w:tcPr>
            <w:tcW w:type="dxa" w:w="2088"/>
            <w:vAlign w:val="center"/>
          </w:tcPr>
          <w:p>
            <w:pPr>
              <w:spacing w:after="20"/>
            </w:pPr>
            <w:r/>
            <w:r>
              <w:rPr>
                <w:rFonts w:ascii="Aptos" w:hAnsi="Aptos"/>
                <w:b w:val="0"/>
                <w:sz w:val="17"/>
              </w:rPr>
              <w:t>All four LOADED</w:t>
            </w:r>
          </w:p>
        </w:tc>
        <w:tc>
          <w:tcPr>
            <w:tcW w:type="dxa" w:w="4248"/>
            <w:vAlign w:val="center"/>
          </w:tcPr>
          <w:p>
            <w:pPr>
              <w:spacing w:after="20"/>
            </w:pPr>
            <w:r/>
            <w:r>
              <w:rPr>
                <w:rFonts w:ascii="Aptos" w:hAnsi="Aptos"/>
                <w:b w:val="0"/>
                <w:sz w:val="17"/>
              </w:rPr>
              <w:t>Audit counts match Snowflake load history</w:t>
            </w:r>
          </w:p>
        </w:tc>
      </w:tr>
    </w:tbl>
    <w:p/>
    <w:p>
      <w:r>
        <w:t>Interpretation: this is evidence of file-ingestion reconciliation. It does not, on its own, confirm that every row has passed through Silver and Gold, nor does it prove that all task executions are persisted in BATCH_AUDIT_LOG.</w:t>
      </w:r>
    </w:p>
    <w:p>
      <w:pPr>
        <w:pStyle w:val="Heading1"/>
      </w:pPr>
      <w:r>
        <w:t>6. Incremental processing</w:t>
      </w:r>
    </w:p>
    <w:p>
      <w:r>
        <w:t>The project includes a Snowflake Stream on the Bronze table and a scheduled Task intended to process captured changes into the Silver table. The recorded Task uses COMPUTE_WH, runs on a one-minute schedule, and includes a SYSTEM$STREAM_HAS_DATA condition so it can skip execution when no stream data is available.</w:t>
      </w:r>
    </w:p>
    <w:p>
      <w:pPr>
        <w:pStyle w:val="ListBullet"/>
        <w:spacing w:after="40"/>
      </w:pPr>
      <w:r>
        <w:t>Stream: FINANCIAL_LAKEHOUSE_DB.BRONZE_RAW.RAW_BRONZE_STREAM</w:t>
      </w:r>
    </w:p>
    <w:p>
      <w:pPr>
        <w:pStyle w:val="ListBullet"/>
        <w:spacing w:after="40"/>
      </w:pPr>
      <w:r>
        <w:t>Task: FINANCIAL_LAKEHOUSE_DB.BRONZE_RAW.PROCESS_BRONZE_STREAM_TASK</w:t>
      </w:r>
    </w:p>
    <w:p>
      <w:pPr>
        <w:pStyle w:val="ListBullet"/>
        <w:spacing w:after="40"/>
      </w:pPr>
      <w:r>
        <w:t>Target: FINANCIAL_LAKEHOUSE_DB.SILVER_CURATED.TRANSACTIONS_CLEAN</w:t>
      </w:r>
    </w:p>
    <w:p>
      <w:pPr>
        <w:pStyle w:val="ListBullet"/>
        <w:spacing w:after="40"/>
      </w:pPr>
      <w:r>
        <w:t>A SKIPPED task run can be expected when the stream-data condition is false; it should not automatically be classified as a failure.</w:t>
      </w:r>
    </w:p>
    <w:p>
      <w:pPr>
        <w:pStyle w:val="ListBullet"/>
        <w:spacing w:after="40"/>
      </w:pPr>
      <w:r>
        <w:t>The task may be suspended after the incremental SQL script; do not assume it is currently active without checking task state.</w:t>
      </w:r>
    </w:p>
    <w:p>
      <w:r>
        <w:t>Important distinction: a Stream tracks table changes after its offset; it does not re-read the source CSV. Initial loading and incremental change processing are separate concerns.</w:t>
      </w:r>
    </w:p>
    <w:p>
      <w:pPr>
        <w:pStyle w:val="Heading1"/>
      </w:pPr>
      <w:r>
        <w:t>7. Audit and monitoring</w:t>
      </w:r>
    </w:p>
    <w:p>
      <w:pPr>
        <w:pStyle w:val="Heading2"/>
      </w:pPr>
      <w:r>
        <w:t>7.1 Batch audit log</w:t>
      </w:r>
    </w:p>
    <w:p>
      <w:r>
        <w:t>BATCH_AUDIT_LOG contains batch-level records, including historical rows synchronized from Snowflake load history. Four batches are known to reconcile with load history. Some historical audit records have NULL START_TIME values because the original start times were not available from the source used to populate them.</w:t>
      </w:r>
    </w:p>
    <w:p>
      <w:pPr>
        <w:pStyle w:val="Heading2"/>
      </w:pPr>
      <w:r>
        <w:t>7.2 Task execution audit view</w:t>
      </w:r>
    </w:p>
    <w:p>
      <w:r>
        <w:t>The audit SQL creates or uses AUDIT.VW_TASK_EXECUTION_AUDIT to expose Snowflake TASK_HISTORY data for monitoring. This is a read-only view of task execution history; it does not automatically write every task run into BATCH_AUDIT_LOG.</w:t>
      </w:r>
    </w:p>
    <w:p>
      <w:pPr>
        <w:pStyle w:val="Heading2"/>
      </w:pPr>
      <w:r>
        <w:t>7.3 Monitoring checks surfaced in the app</w:t>
      </w:r>
    </w:p>
    <w:p>
      <w:pPr>
        <w:pStyle w:val="ListBullet"/>
        <w:spacing w:after="40"/>
      </w:pPr>
      <w:r>
        <w:t>Load history and ingestion counts.</w:t>
      </w:r>
    </w:p>
    <w:p>
      <w:pPr>
        <w:pStyle w:val="ListBullet"/>
        <w:spacing w:after="40"/>
      </w:pPr>
      <w:r>
        <w:t>Task execution history and status.</w:t>
      </w:r>
    </w:p>
    <w:p>
      <w:pPr>
        <w:pStyle w:val="ListBullet"/>
        <w:spacing w:after="40"/>
      </w:pPr>
      <w:r>
        <w:t>Bronze and Silver row-count visibility.</w:t>
      </w:r>
    </w:p>
    <w:p>
      <w:pPr>
        <w:pStyle w:val="ListBullet"/>
        <w:spacing w:after="40"/>
      </w:pPr>
      <w:r>
        <w:t>Gold analytics volume and data-quality checks.</w:t>
      </w:r>
    </w:p>
    <w:p>
      <w:pPr>
        <w:pStyle w:val="ListBullet"/>
        <w:spacing w:after="40"/>
      </w:pPr>
      <w:r>
        <w:t>Audit table and task-history view results.</w:t>
      </w:r>
    </w:p>
    <w:p>
      <w:pPr>
        <w:pStyle w:val="Heading1"/>
      </w:pPr>
      <w:r>
        <w:t>8. Gold analytics and dashboard</w:t>
      </w:r>
    </w:p>
    <w:p>
      <w:r>
        <w:t>Gold tables provide pre-aggregated or analysis-ready data for dashboard pages. Dashboard figures should be validated against direct SQL queries before being described as business KPIs.</w:t>
      </w:r>
    </w:p>
    <w:tbl>
      <w:tblPr>
        <w:tblStyle w:val="TableGrid"/>
        <w:tblW w:type="auto" w:w="0"/>
        <w:jc w:val="center"/>
        <w:tblLook w:firstColumn="1" w:firstRow="1" w:lastColumn="0" w:lastRow="0" w:noHBand="0" w:noVBand="1" w:val="04A0"/>
      </w:tblPr>
      <w:tblGrid>
        <w:gridCol w:w="4968"/>
        <w:gridCol w:w="4968"/>
      </w:tblGrid>
      <w:tr>
        <w:tc>
          <w:tcPr>
            <w:tcW w:type="dxa" w:w="3024"/>
            <w:vAlign w:val="center"/>
            <w:shd w:fill="17365D"/>
          </w:tcPr>
          <w:p>
            <w:pPr>
              <w:spacing w:after="20"/>
            </w:pPr>
            <w:r/>
            <w:r>
              <w:rPr>
                <w:rFonts w:ascii="Aptos" w:hAnsi="Aptos"/>
                <w:b/>
                <w:color w:val="FFFFFF"/>
                <w:sz w:val="18"/>
              </w:rPr>
              <w:t>Page</w:t>
            </w:r>
          </w:p>
        </w:tc>
        <w:tc>
          <w:tcPr>
            <w:tcW w:type="dxa" w:w="7416"/>
            <w:vAlign w:val="center"/>
            <w:shd w:fill="17365D"/>
          </w:tcPr>
          <w:p>
            <w:pPr>
              <w:spacing w:after="20"/>
            </w:pPr>
            <w:r/>
            <w:r>
              <w:rPr>
                <w:rFonts w:ascii="Aptos" w:hAnsi="Aptos"/>
                <w:b/>
                <w:color w:val="FFFFFF"/>
                <w:sz w:val="18"/>
              </w:rPr>
              <w:t>Main purpose</w:t>
            </w:r>
          </w:p>
        </w:tc>
      </w:tr>
      <w:tr>
        <w:tc>
          <w:tcPr>
            <w:tcW w:type="dxa" w:w="3024"/>
            <w:vAlign w:val="center"/>
          </w:tcPr>
          <w:p>
            <w:pPr>
              <w:spacing w:after="20"/>
            </w:pPr>
            <w:r/>
            <w:r>
              <w:rPr>
                <w:rFonts w:ascii="Aptos" w:hAnsi="Aptos"/>
                <w:b w:val="0"/>
                <w:sz w:val="17"/>
              </w:rPr>
              <w:t>1. Executive Overview</w:t>
            </w:r>
          </w:p>
        </w:tc>
        <w:tc>
          <w:tcPr>
            <w:tcW w:type="dxa" w:w="7416"/>
            <w:vAlign w:val="center"/>
          </w:tcPr>
          <w:p>
            <w:pPr>
              <w:spacing w:after="20"/>
            </w:pPr>
            <w:r/>
            <w:r>
              <w:rPr>
                <w:rFonts w:ascii="Aptos" w:hAnsi="Aptos"/>
                <w:b w:val="0"/>
                <w:sz w:val="17"/>
              </w:rPr>
              <w:t>High-level transaction volume and financial overview.</w:t>
            </w:r>
          </w:p>
        </w:tc>
      </w:tr>
      <w:tr>
        <w:tc>
          <w:tcPr>
            <w:tcW w:type="dxa" w:w="3024"/>
            <w:vAlign w:val="center"/>
            <w:shd w:fill="F2F6FA"/>
          </w:tcPr>
          <w:p>
            <w:pPr>
              <w:spacing w:after="20"/>
            </w:pPr>
            <w:r/>
            <w:r>
              <w:rPr>
                <w:rFonts w:ascii="Aptos" w:hAnsi="Aptos"/>
                <w:b w:val="0"/>
                <w:sz w:val="17"/>
              </w:rPr>
              <w:t>2. Fraud Analytics</w:t>
            </w:r>
          </w:p>
        </w:tc>
        <w:tc>
          <w:tcPr>
            <w:tcW w:type="dxa" w:w="7416"/>
            <w:vAlign w:val="center"/>
            <w:shd w:fill="F2F6FA"/>
          </w:tcPr>
          <w:p>
            <w:pPr>
              <w:spacing w:after="20"/>
            </w:pPr>
            <w:r/>
            <w:r>
              <w:rPr>
                <w:rFonts w:ascii="Aptos" w:hAnsi="Aptos"/>
                <w:b w:val="0"/>
                <w:sz w:val="17"/>
              </w:rPr>
              <w:t>Explore source fraud labels and related transaction patterns.</w:t>
            </w:r>
          </w:p>
        </w:tc>
      </w:tr>
      <w:tr>
        <w:tc>
          <w:tcPr>
            <w:tcW w:type="dxa" w:w="3024"/>
            <w:vAlign w:val="center"/>
          </w:tcPr>
          <w:p>
            <w:pPr>
              <w:spacing w:after="20"/>
            </w:pPr>
            <w:r/>
            <w:r>
              <w:rPr>
                <w:rFonts w:ascii="Aptos" w:hAnsi="Aptos"/>
                <w:b w:val="0"/>
                <w:sz w:val="17"/>
              </w:rPr>
              <w:t>3. Transaction Explorer</w:t>
            </w:r>
          </w:p>
        </w:tc>
        <w:tc>
          <w:tcPr>
            <w:tcW w:type="dxa" w:w="7416"/>
            <w:vAlign w:val="center"/>
          </w:tcPr>
          <w:p>
            <w:pPr>
              <w:spacing w:after="20"/>
            </w:pPr>
            <w:r/>
            <w:r>
              <w:rPr>
                <w:rFonts w:ascii="Aptos" w:hAnsi="Aptos"/>
                <w:b w:val="0"/>
                <w:sz w:val="17"/>
              </w:rPr>
              <w:t>Inspect transaction-level records and relevant balance fields.</w:t>
            </w:r>
          </w:p>
        </w:tc>
      </w:tr>
      <w:tr>
        <w:tc>
          <w:tcPr>
            <w:tcW w:type="dxa" w:w="3024"/>
            <w:vAlign w:val="center"/>
            <w:shd w:fill="F2F6FA"/>
          </w:tcPr>
          <w:p>
            <w:pPr>
              <w:spacing w:after="20"/>
            </w:pPr>
            <w:r/>
            <w:r>
              <w:rPr>
                <w:rFonts w:ascii="Aptos" w:hAnsi="Aptos"/>
                <w:b w:val="0"/>
                <w:sz w:val="17"/>
              </w:rPr>
              <w:t>4. Pipeline Monitor</w:t>
            </w:r>
          </w:p>
        </w:tc>
        <w:tc>
          <w:tcPr>
            <w:tcW w:type="dxa" w:w="7416"/>
            <w:vAlign w:val="center"/>
            <w:shd w:fill="F2F6FA"/>
          </w:tcPr>
          <w:p>
            <w:pPr>
              <w:spacing w:after="20"/>
            </w:pPr>
            <w:r/>
            <w:r>
              <w:rPr>
                <w:rFonts w:ascii="Aptos" w:hAnsi="Aptos"/>
                <w:b w:val="0"/>
                <w:sz w:val="17"/>
              </w:rPr>
              <w:t>Review ingestion, task execution, row counts, audit information, and data-quality checks.</w:t>
            </w:r>
          </w:p>
        </w:tc>
      </w:tr>
    </w:tbl>
    <w:p/>
    <w:p>
      <w:r>
        <w:t>Owner-reported deployment URL:</w:t>
      </w:r>
    </w:p>
    <w:p>
      <w:r>
        <w:rPr>
          <w:color w:val="0563C1"/>
          <w:u w:val="single"/>
        </w:rPr>
        <w:t>https://app.snowflake.com/streamlit/aarcadm/hz40948/#/apps/qiyut6u5zjt32xsc532f</w:t>
      </w:r>
    </w:p>
    <w:p>
      <w:r>
        <w:t>Access to the deployed app depends on the user's Snowflake account, role, and application permissions. The URL was supplied by the project owner and is not a public anonymous demo link.</w:t>
      </w:r>
    </w:p>
    <w:p>
      <w:pPr>
        <w:pStyle w:val="Heading1"/>
      </w:pPr>
      <w:r>
        <w:t>9. Repository structure</w:t>
      </w:r>
    </w:p>
    <w:p>
      <w:pPr>
        <w:spacing w:before="40" w:after="120"/>
        <w:ind w:left="259"/>
      </w:pPr>
      <w:r>
        <w:rPr>
          <w:rFonts w:ascii="Consolas" w:hAnsi="Consolas"/>
          <w:color w:val="333333"/>
          <w:sz w:val="17"/>
        </w:rPr>
        <w:t>README.md</w:t>
        <w:br/>
        <w:t>PROJECT_IMPLEMENTATION_GUIDE.md</w:t>
        <w:br/>
        <w:t>sql/</w:t>
        <w:br/>
        <w:t xml:space="preserve">  01_create_database_and_schemas.sql</w:t>
        <w:br/>
        <w:t xml:space="preserve">  02_bronze_ingestion_setup.sql</w:t>
        <w:br/>
        <w:t xml:space="preserve">  03_bronze_data_validation.sql</w:t>
        <w:br/>
        <w:t xml:space="preserve">  04_silver_data_quality_checks.sql</w:t>
        <w:br/>
        <w:t xml:space="preserve">  05_silver_layer.sql</w:t>
        <w:br/>
        <w:t xml:space="preserve">  06_incremental_processing.sql</w:t>
        <w:br/>
        <w:t xml:space="preserve">  07_gold_analytics.sql</w:t>
        <w:br/>
        <w:t xml:space="preserve">  08_audit_and_monitoring.sql</w:t>
        <w:br/>
        <w:t>notebooks/</w:t>
        <w:br/>
        <w:t xml:space="preserve">  01_paysim_dataset_profiling.ipynb</w:t>
        <w:br/>
        <w:t>streamlit/streamlit_app.py/</w:t>
        <w:br/>
        <w:t xml:space="preserve">  streamlit_app.py</w:t>
        <w:br/>
        <w:t xml:space="preserve">  app_pages/1_Executive_Overview.py</w:t>
        <w:br/>
        <w:t xml:space="preserve">  app_pages/2_Fraud_Analytics.py</w:t>
        <w:br/>
        <w:t xml:space="preserve">  app_pages/3_Transaction_Explorer.py</w:t>
        <w:br/>
        <w:t xml:space="preserve">  app_pages/4_Pipeline_Monitor.py</w:t>
        <w:br/>
        <w:t xml:space="preserve">  .streamlit/</w:t>
        <w:br/>
        <w:t xml:space="preserve">  pyproject.toml</w:t>
        <w:br/>
        <w:t xml:space="preserve">  snowflake.yml</w:t>
        <w:br/>
        <w:t>docs/screenshots/  (planned screenshot directory)</w:t>
      </w:r>
    </w:p>
    <w:p>
      <w:pPr>
        <w:pStyle w:val="Heading1"/>
      </w:pPr>
      <w:r>
        <w:t>10. SQL execution sequence</w:t>
      </w:r>
    </w:p>
    <w:p>
      <w:r>
        <w:t>Use the repository's SQL files in a deliberate order and inspect the existing database objects before rerunning any DDL. The filenames describe the intended workflow; account privileges and current object state can affect execution.</w:t>
      </w:r>
    </w:p>
    <w:p>
      <w:pPr>
        <w:pStyle w:val="ListNumber"/>
        <w:spacing w:after="40"/>
      </w:pPr>
      <w:r>
        <w:t>01_create_database_and_schemas.sql — create or verify the database and schemas.</w:t>
      </w:r>
    </w:p>
    <w:p>
      <w:pPr>
        <w:pStyle w:val="ListNumber"/>
        <w:spacing w:after="40"/>
      </w:pPr>
      <w:r>
        <w:t>02_bronze_ingestion_setup.sql — prepare file format, stage, and Bronze ingestion setup.</w:t>
      </w:r>
    </w:p>
    <w:p>
      <w:pPr>
        <w:pStyle w:val="ListNumber"/>
        <w:spacing w:after="40"/>
      </w:pPr>
      <w:r>
        <w:t>03_bronze_data_validation.sql — inspect Bronze data and load results.</w:t>
      </w:r>
    </w:p>
    <w:p>
      <w:pPr>
        <w:pStyle w:val="ListNumber"/>
        <w:spacing w:after="40"/>
      </w:pPr>
      <w:r>
        <w:t>04_silver_data_quality_checks.sql — run curated-layer quality checks.</w:t>
      </w:r>
    </w:p>
    <w:p>
      <w:pPr>
        <w:pStyle w:val="ListNumber"/>
        <w:spacing w:after="40"/>
      </w:pPr>
      <w:r>
        <w:t>05_silver_layer.sql — create/populate Silver transformations.</w:t>
      </w:r>
    </w:p>
    <w:p>
      <w:pPr>
        <w:pStyle w:val="ListNumber"/>
        <w:spacing w:after="40"/>
      </w:pPr>
      <w:r>
        <w:t>06_incremental_processing.sql — configure Stream and Task-based incremental processing.</w:t>
      </w:r>
    </w:p>
    <w:p>
      <w:pPr>
        <w:pStyle w:val="ListNumber"/>
        <w:spacing w:after="40"/>
      </w:pPr>
      <w:r>
        <w:t>07_gold_analytics.sql — create or refresh Gold analytics.</w:t>
      </w:r>
    </w:p>
    <w:p>
      <w:pPr>
        <w:pStyle w:val="ListNumber"/>
        <w:spacing w:after="40"/>
      </w:pPr>
      <w:r>
        <w:t>08_audit_and_monitoring.sql — batch audit and task-history monitoring.</w:t>
      </w:r>
    </w:p>
    <w:p>
      <w:pPr>
        <w:pStyle w:val="Heading1"/>
      </w:pPr>
      <w:r>
        <w:t>11. Validation status and remaining checks</w:t>
      </w:r>
    </w:p>
    <w:tbl>
      <w:tblPr>
        <w:tblStyle w:val="TableGrid"/>
        <w:tblW w:type="auto" w:w="0"/>
        <w:jc w:val="center"/>
        <w:tblLook w:firstColumn="1" w:firstRow="1" w:lastColumn="0" w:lastRow="0" w:noHBand="0" w:noVBand="1" w:val="04A0"/>
      </w:tblPr>
      <w:tblGrid>
        <w:gridCol w:w="3312"/>
        <w:gridCol w:w="3312"/>
        <w:gridCol w:w="3312"/>
      </w:tblGrid>
      <w:tr>
        <w:tc>
          <w:tcPr>
            <w:tcW w:type="dxa" w:w="1728"/>
            <w:vAlign w:val="center"/>
            <w:shd w:fill="17365D"/>
          </w:tcPr>
          <w:p>
            <w:pPr>
              <w:spacing w:after="20"/>
            </w:pPr>
            <w:r/>
            <w:r>
              <w:rPr>
                <w:rFonts w:ascii="Aptos" w:hAnsi="Aptos"/>
                <w:b/>
                <w:color w:val="FFFFFF"/>
                <w:sz w:val="18"/>
              </w:rPr>
              <w:t>Area</w:t>
            </w:r>
          </w:p>
        </w:tc>
        <w:tc>
          <w:tcPr>
            <w:tcW w:type="dxa" w:w="3888"/>
            <w:vAlign w:val="center"/>
            <w:shd w:fill="17365D"/>
          </w:tcPr>
          <w:p>
            <w:pPr>
              <w:spacing w:after="20"/>
            </w:pPr>
            <w:r/>
            <w:r>
              <w:rPr>
                <w:rFonts w:ascii="Aptos" w:hAnsi="Aptos"/>
                <w:b/>
                <w:color w:val="FFFFFF"/>
                <w:sz w:val="18"/>
              </w:rPr>
              <w:t>Current evidence</w:t>
            </w:r>
          </w:p>
        </w:tc>
        <w:tc>
          <w:tcPr>
            <w:tcW w:type="dxa" w:w="4824"/>
            <w:vAlign w:val="center"/>
            <w:shd w:fill="17365D"/>
          </w:tcPr>
          <w:p>
            <w:pPr>
              <w:spacing w:after="20"/>
            </w:pPr>
            <w:r/>
            <w:r>
              <w:rPr>
                <w:rFonts w:ascii="Aptos" w:hAnsi="Aptos"/>
                <w:b/>
                <w:color w:val="FFFFFF"/>
                <w:sz w:val="18"/>
              </w:rPr>
              <w:t>Still important to verify</w:t>
            </w:r>
          </w:p>
        </w:tc>
      </w:tr>
      <w:tr>
        <w:tc>
          <w:tcPr>
            <w:tcW w:type="dxa" w:w="1728"/>
            <w:vAlign w:val="center"/>
          </w:tcPr>
          <w:p>
            <w:pPr>
              <w:spacing w:after="20"/>
            </w:pPr>
            <w:r/>
            <w:r>
              <w:rPr>
                <w:rFonts w:ascii="Aptos" w:hAnsi="Aptos"/>
                <w:b w:val="0"/>
                <w:sz w:val="17"/>
              </w:rPr>
              <w:t>Dataset profile</w:t>
            </w:r>
          </w:p>
        </w:tc>
        <w:tc>
          <w:tcPr>
            <w:tcW w:type="dxa" w:w="3888"/>
            <w:vAlign w:val="center"/>
          </w:tcPr>
          <w:p>
            <w:pPr>
              <w:spacing w:after="20"/>
            </w:pPr>
            <w:r/>
            <w:r>
              <w:rPr>
                <w:rFonts w:ascii="Aptos" w:hAnsi="Aptos"/>
                <w:b w:val="0"/>
                <w:sz w:val="17"/>
              </w:rPr>
              <w:t>Reported 6,362,620 rows, 11 columns, zero nulls and duplicate rows, 743 steps.</w:t>
            </w:r>
          </w:p>
        </w:tc>
        <w:tc>
          <w:tcPr>
            <w:tcW w:type="dxa" w:w="4824"/>
            <w:vAlign w:val="center"/>
          </w:tcPr>
          <w:p>
            <w:pPr>
              <w:spacing w:after="20"/>
            </w:pPr>
            <w:r/>
            <w:r>
              <w:rPr>
                <w:rFonts w:ascii="Aptos" w:hAnsi="Aptos"/>
                <w:b w:val="0"/>
                <w:sz w:val="17"/>
              </w:rPr>
              <w:t>Keep profiling outputs and source metadata with the repository documentation.</w:t>
            </w:r>
          </w:p>
        </w:tc>
      </w:tr>
      <w:tr>
        <w:tc>
          <w:tcPr>
            <w:tcW w:type="dxa" w:w="1728"/>
            <w:vAlign w:val="center"/>
            <w:shd w:fill="F2F6FA"/>
          </w:tcPr>
          <w:p>
            <w:pPr>
              <w:spacing w:after="20"/>
            </w:pPr>
            <w:r/>
            <w:r>
              <w:rPr>
                <w:rFonts w:ascii="Aptos" w:hAnsi="Aptos"/>
                <w:b w:val="0"/>
                <w:sz w:val="17"/>
              </w:rPr>
              <w:t>Batch ingestion</w:t>
            </w:r>
          </w:p>
        </w:tc>
        <w:tc>
          <w:tcPr>
            <w:tcW w:type="dxa" w:w="3888"/>
            <w:vAlign w:val="center"/>
            <w:shd w:fill="F2F6FA"/>
          </w:tcPr>
          <w:p>
            <w:pPr>
              <w:spacing w:after="20"/>
            </w:pPr>
            <w:r/>
            <w:r>
              <w:rPr>
                <w:rFonts w:ascii="Aptos" w:hAnsi="Aptos"/>
                <w:b w:val="0"/>
                <w:sz w:val="17"/>
              </w:rPr>
              <w:t>Four batch counts sum to 6,362,620 and match Snowflake load history; all LOADED.</w:t>
            </w:r>
          </w:p>
        </w:tc>
        <w:tc>
          <w:tcPr>
            <w:tcW w:type="dxa" w:w="4824"/>
            <w:vAlign w:val="center"/>
            <w:shd w:fill="F2F6FA"/>
          </w:tcPr>
          <w:p>
            <w:pPr>
              <w:spacing w:after="20"/>
            </w:pPr>
            <w:r/>
            <w:r>
              <w:rPr>
                <w:rFonts w:ascii="Aptos" w:hAnsi="Aptos"/>
                <w:b w:val="0"/>
                <w:sz w:val="17"/>
              </w:rPr>
              <w:t>Preserve query outputs or sanitized evidence.</w:t>
            </w:r>
          </w:p>
        </w:tc>
      </w:tr>
      <w:tr>
        <w:tc>
          <w:tcPr>
            <w:tcW w:type="dxa" w:w="1728"/>
            <w:vAlign w:val="center"/>
          </w:tcPr>
          <w:p>
            <w:pPr>
              <w:spacing w:after="20"/>
            </w:pPr>
            <w:r/>
            <w:r>
              <w:rPr>
                <w:rFonts w:ascii="Aptos" w:hAnsi="Aptos"/>
                <w:b w:val="0"/>
                <w:sz w:val="17"/>
              </w:rPr>
              <w:t>Stream/Task</w:t>
            </w:r>
          </w:p>
        </w:tc>
        <w:tc>
          <w:tcPr>
            <w:tcW w:type="dxa" w:w="3888"/>
            <w:vAlign w:val="center"/>
          </w:tcPr>
          <w:p>
            <w:pPr>
              <w:spacing w:after="20"/>
            </w:pPr>
            <w:r/>
            <w:r>
              <w:rPr>
                <w:rFonts w:ascii="Aptos" w:hAnsi="Aptos"/>
                <w:b w:val="0"/>
                <w:sz w:val="17"/>
              </w:rPr>
              <w:t>Stream and Task objects exist; task history contains successful and skipped runs.</w:t>
            </w:r>
          </w:p>
        </w:tc>
        <w:tc>
          <w:tcPr>
            <w:tcW w:type="dxa" w:w="4824"/>
            <w:vAlign w:val="center"/>
          </w:tcPr>
          <w:p>
            <w:pPr>
              <w:spacing w:after="20"/>
            </w:pPr>
            <w:r/>
            <w:r>
              <w:rPr>
                <w:rFonts w:ascii="Aptos" w:hAnsi="Aptos"/>
                <w:b w:val="0"/>
                <w:sz w:val="17"/>
              </w:rPr>
              <w:t>Verify current task state and test a controlled new batch/replay before claiming full idempotency.</w:t>
            </w:r>
          </w:p>
        </w:tc>
      </w:tr>
      <w:tr>
        <w:tc>
          <w:tcPr>
            <w:tcW w:type="dxa" w:w="1728"/>
            <w:vAlign w:val="center"/>
            <w:shd w:fill="F2F6FA"/>
          </w:tcPr>
          <w:p>
            <w:pPr>
              <w:spacing w:after="20"/>
            </w:pPr>
            <w:r/>
            <w:r>
              <w:rPr>
                <w:rFonts w:ascii="Aptos" w:hAnsi="Aptos"/>
                <w:b w:val="0"/>
                <w:sz w:val="17"/>
              </w:rPr>
              <w:t>Silver quality</w:t>
            </w:r>
          </w:p>
        </w:tc>
        <w:tc>
          <w:tcPr>
            <w:tcW w:type="dxa" w:w="3888"/>
            <w:vAlign w:val="center"/>
            <w:shd w:fill="F2F6FA"/>
          </w:tcPr>
          <w:p>
            <w:pPr>
              <w:spacing w:after="20"/>
            </w:pPr>
            <w:r/>
            <w:r>
              <w:rPr>
                <w:rFonts w:ascii="Aptos" w:hAnsi="Aptos"/>
                <w:b w:val="0"/>
                <w:sz w:val="17"/>
              </w:rPr>
              <w:t>Quality SQL and Silver table are part of the implementation.</w:t>
            </w:r>
          </w:p>
        </w:tc>
        <w:tc>
          <w:tcPr>
            <w:tcW w:type="dxa" w:w="4824"/>
            <w:vAlign w:val="center"/>
            <w:shd w:fill="F2F6FA"/>
          </w:tcPr>
          <w:p>
            <w:pPr>
              <w:spacing w:after="20"/>
            </w:pPr>
            <w:r/>
            <w:r>
              <w:rPr>
                <w:rFonts w:ascii="Aptos" w:hAnsi="Aptos"/>
                <w:b w:val="0"/>
                <w:sz w:val="17"/>
              </w:rPr>
              <w:t>Run and document final source-to-Silver reconciliation and duplicate/key checks.</w:t>
            </w:r>
          </w:p>
        </w:tc>
      </w:tr>
      <w:tr>
        <w:tc>
          <w:tcPr>
            <w:tcW w:type="dxa" w:w="1728"/>
            <w:vAlign w:val="center"/>
          </w:tcPr>
          <w:p>
            <w:pPr>
              <w:spacing w:after="20"/>
            </w:pPr>
            <w:r/>
            <w:r>
              <w:rPr>
                <w:rFonts w:ascii="Aptos" w:hAnsi="Aptos"/>
                <w:b w:val="0"/>
                <w:sz w:val="17"/>
              </w:rPr>
              <w:t>Gold analytics</w:t>
            </w:r>
          </w:p>
        </w:tc>
        <w:tc>
          <w:tcPr>
            <w:tcW w:type="dxa" w:w="3888"/>
            <w:vAlign w:val="center"/>
          </w:tcPr>
          <w:p>
            <w:pPr>
              <w:spacing w:after="20"/>
            </w:pPr>
            <w:r/>
            <w:r>
              <w:rPr>
                <w:rFonts w:ascii="Aptos" w:hAnsi="Aptos"/>
                <w:b w:val="0"/>
                <w:sz w:val="17"/>
              </w:rPr>
              <w:t>Three named Gold analytics tables exist in the project scope.</w:t>
            </w:r>
          </w:p>
        </w:tc>
        <w:tc>
          <w:tcPr>
            <w:tcW w:type="dxa" w:w="4824"/>
            <w:vAlign w:val="center"/>
          </w:tcPr>
          <w:p>
            <w:pPr>
              <w:spacing w:after="20"/>
            </w:pPr>
            <w:r/>
            <w:r>
              <w:rPr>
                <w:rFonts w:ascii="Aptos" w:hAnsi="Aptos"/>
                <w:b w:val="0"/>
                <w:sz w:val="17"/>
              </w:rPr>
              <w:t>Reconcile each dashboard metric to direct SQL and document KPI definitions.</w:t>
            </w:r>
          </w:p>
        </w:tc>
      </w:tr>
      <w:tr>
        <w:tc>
          <w:tcPr>
            <w:tcW w:type="dxa" w:w="1728"/>
            <w:vAlign w:val="center"/>
            <w:shd w:fill="F2F6FA"/>
          </w:tcPr>
          <w:p>
            <w:pPr>
              <w:spacing w:after="20"/>
            </w:pPr>
            <w:r/>
            <w:r>
              <w:rPr>
                <w:rFonts w:ascii="Aptos" w:hAnsi="Aptos"/>
                <w:b w:val="0"/>
                <w:sz w:val="17"/>
              </w:rPr>
              <w:t>Audit</w:t>
            </w:r>
          </w:p>
        </w:tc>
        <w:tc>
          <w:tcPr>
            <w:tcW w:type="dxa" w:w="3888"/>
            <w:vAlign w:val="center"/>
            <w:shd w:fill="F2F6FA"/>
          </w:tcPr>
          <w:p>
            <w:pPr>
              <w:spacing w:after="20"/>
            </w:pPr>
            <w:r/>
            <w:r>
              <w:rPr>
                <w:rFonts w:ascii="Aptos" w:hAnsi="Aptos"/>
                <w:b w:val="0"/>
                <w:sz w:val="17"/>
              </w:rPr>
              <w:t>Batch log and task history view are implemented.</w:t>
            </w:r>
          </w:p>
        </w:tc>
        <w:tc>
          <w:tcPr>
            <w:tcW w:type="dxa" w:w="4824"/>
            <w:vAlign w:val="center"/>
            <w:shd w:fill="F2F6FA"/>
          </w:tcPr>
          <w:p>
            <w:pPr>
              <w:spacing w:after="20"/>
            </w:pPr>
            <w:r/>
            <w:r>
              <w:rPr>
                <w:rFonts w:ascii="Aptos" w:hAnsi="Aptos"/>
                <w:b w:val="0"/>
                <w:sz w:val="17"/>
              </w:rPr>
              <w:t>Clarify how future batch records are written; do not imply automatic task-run persistence to the batch log.</w:t>
            </w:r>
          </w:p>
        </w:tc>
      </w:tr>
      <w:tr>
        <w:tc>
          <w:tcPr>
            <w:tcW w:type="dxa" w:w="1728"/>
            <w:vAlign w:val="center"/>
          </w:tcPr>
          <w:p>
            <w:pPr>
              <w:spacing w:after="20"/>
            </w:pPr>
            <w:r/>
            <w:r>
              <w:rPr>
                <w:rFonts w:ascii="Aptos" w:hAnsi="Aptos"/>
                <w:b w:val="0"/>
                <w:sz w:val="17"/>
              </w:rPr>
              <w:t>Streamlit</w:t>
            </w:r>
          </w:p>
        </w:tc>
        <w:tc>
          <w:tcPr>
            <w:tcW w:type="dxa" w:w="3888"/>
            <w:vAlign w:val="center"/>
          </w:tcPr>
          <w:p>
            <w:pPr>
              <w:spacing w:after="20"/>
            </w:pPr>
            <w:r/>
            <w:r>
              <w:rPr>
                <w:rFonts w:ascii="Aptos" w:hAnsi="Aptos"/>
                <w:b w:val="0"/>
                <w:sz w:val="17"/>
              </w:rPr>
              <w:t>Owner reports all four pages load and app is deployed.</w:t>
            </w:r>
          </w:p>
        </w:tc>
        <w:tc>
          <w:tcPr>
            <w:tcW w:type="dxa" w:w="4824"/>
            <w:vAlign w:val="center"/>
          </w:tcPr>
          <w:p>
            <w:pPr>
              <w:spacing w:after="20"/>
            </w:pPr>
            <w:r/>
            <w:r>
              <w:rPr>
                <w:rFonts w:ascii="Aptos" w:hAnsi="Aptos"/>
                <w:b w:val="0"/>
                <w:sz w:val="17"/>
              </w:rPr>
              <w:t>Capture six actual screenshots and confirm intended role/access behavior.</w:t>
            </w:r>
          </w:p>
        </w:tc>
      </w:tr>
      <w:tr>
        <w:tc>
          <w:tcPr>
            <w:tcW w:type="dxa" w:w="1728"/>
            <w:vAlign w:val="center"/>
            <w:shd w:fill="F2F6FA"/>
          </w:tcPr>
          <w:p>
            <w:pPr>
              <w:spacing w:after="20"/>
            </w:pPr>
            <w:r/>
            <w:r>
              <w:rPr>
                <w:rFonts w:ascii="Aptos" w:hAnsi="Aptos"/>
                <w:b w:val="0"/>
                <w:sz w:val="17"/>
              </w:rPr>
              <w:t>Repository</w:t>
            </w:r>
          </w:p>
        </w:tc>
        <w:tc>
          <w:tcPr>
            <w:tcW w:type="dxa" w:w="3888"/>
            <w:vAlign w:val="center"/>
            <w:shd w:fill="F2F6FA"/>
          </w:tcPr>
          <w:p>
            <w:pPr>
              <w:spacing w:after="20"/>
            </w:pPr>
            <w:r/>
            <w:r>
              <w:rPr>
                <w:rFonts w:ascii="Aptos" w:hAnsi="Aptos"/>
                <w:b w:val="0"/>
                <w:sz w:val="17"/>
              </w:rPr>
              <w:t>README and project guide are present.</w:t>
            </w:r>
          </w:p>
        </w:tc>
        <w:tc>
          <w:tcPr>
            <w:tcW w:type="dxa" w:w="4824"/>
            <w:vAlign w:val="center"/>
            <w:shd w:fill="F2F6FA"/>
          </w:tcPr>
          <w:p>
            <w:pPr>
              <w:spacing w:after="20"/>
            </w:pPr>
            <w:r/>
            <w:r>
              <w:rPr>
                <w:rFonts w:ascii="Aptos" w:hAnsi="Aptos"/>
                <w:b w:val="0"/>
                <w:sz w:val="17"/>
              </w:rPr>
              <w:t>Review .gitignore, secrets, raw-data exclusions, screenshot paths, and final Git diff.</w:t>
            </w:r>
          </w:p>
        </w:tc>
      </w:tr>
    </w:tbl>
    <w:p/>
    <w:p>
      <w:pPr>
        <w:pStyle w:val="Heading1"/>
      </w:pPr>
      <w:r>
        <w:t>12. Limitations and scope boundaries</w:t>
      </w:r>
    </w:p>
    <w:p>
      <w:pPr>
        <w:pStyle w:val="ListBullet"/>
        <w:spacing w:after="40"/>
      </w:pPr>
      <w:r>
        <w:t>The dataset is synthetic. Source fraud indicators are labels in PaySim, not evidence of a production fraud model's accuracy.</w:t>
      </w:r>
    </w:p>
    <w:p>
      <w:pPr>
        <w:pStyle w:val="ListBullet"/>
        <w:spacing w:after="40"/>
      </w:pPr>
      <w:r>
        <w:t>Batch reconciliation against LOAD_HISTORY is not equivalent to end-to-end row reconciliation across Bronze, Silver, and Gold.</w:t>
      </w:r>
    </w:p>
    <w:p>
      <w:pPr>
        <w:pStyle w:val="ListBullet"/>
        <w:spacing w:after="40"/>
      </w:pPr>
      <w:r>
        <w:t>Historical START_TIME values may be NULL when the original start times were not available.</w:t>
      </w:r>
    </w:p>
    <w:p>
      <w:pPr>
        <w:pStyle w:val="ListBullet"/>
        <w:spacing w:after="40"/>
      </w:pPr>
      <w:r>
        <w:t>The task-history view reads Snowflake task history; it is not the same as writing every execution into the batch audit table.</w:t>
      </w:r>
    </w:p>
    <w:p>
      <w:pPr>
        <w:pStyle w:val="ListBullet"/>
        <w:spacing w:after="40"/>
      </w:pPr>
      <w:r>
        <w:t>The scheduled Task's current active/suspended state should be checked at runtime.</w:t>
      </w:r>
    </w:p>
    <w:p>
      <w:pPr>
        <w:pStyle w:val="ListBullet"/>
        <w:spacing w:after="40"/>
      </w:pPr>
      <w:r>
        <w:t>Advanced features such as Time Travel demonstrations, Search Optimization, clustering, materialized views, RBAC/masking tests, Snowpark, Python Connector workflows, and Cortex enrichment should be described as future work unless there is concrete implementation and validation evidence.</w:t>
      </w:r>
    </w:p>
    <w:p>
      <w:pPr>
        <w:pStyle w:val="ListBullet"/>
        <w:spacing w:after="40"/>
      </w:pPr>
      <w:r>
        <w:t>The Snowflake-hosted Streamlit app requires appropriate account access and should not be assumed to be publicly accessible.</w:t>
      </w:r>
    </w:p>
    <w:p>
      <w:pPr>
        <w:pStyle w:val="Heading1"/>
      </w:pPr>
      <w:r>
        <w:t>13. Security and cost considerations</w:t>
      </w:r>
    </w:p>
    <w:p>
      <w:pPr>
        <w:pStyle w:val="ListBullet"/>
        <w:spacing w:after="40"/>
      </w:pPr>
      <w:r>
        <w:t>Never commit passwords, private keys, access tokens, credential-bearing connection files, or .env files.</w:t>
      </w:r>
    </w:p>
    <w:p>
      <w:pPr>
        <w:pStyle w:val="ListBullet"/>
        <w:spacing w:after="40"/>
      </w:pPr>
      <w:r>
        <w:t>Keep the full raw CSV and multi-million-row batches out of Git.</w:t>
      </w:r>
    </w:p>
    <w:p>
      <w:pPr>
        <w:pStyle w:val="ListBullet"/>
        <w:spacing w:after="40"/>
      </w:pPr>
      <w:r>
        <w:t>Use least-privilege roles for day-to-day development and dashboard access.</w:t>
      </w:r>
    </w:p>
    <w:p>
      <w:pPr>
        <w:pStyle w:val="ListBullet"/>
        <w:spacing w:after="40"/>
      </w:pPr>
      <w:r>
        <w:t>Use sanitized screenshots that do not expose account identifiers, credentials, or sensitive configuration.</w:t>
      </w:r>
    </w:p>
    <w:p>
      <w:pPr>
        <w:pStyle w:val="ListBullet"/>
        <w:spacing w:after="40"/>
      </w:pPr>
      <w:r>
        <w:t>Use warehouse auto-suspend/auto-resume and monitor compute consumption.</w:t>
      </w:r>
    </w:p>
    <w:p>
      <w:pPr>
        <w:pStyle w:val="ListBullet"/>
        <w:spacing w:after="40"/>
      </w:pPr>
      <w:r>
        <w:t>Do not enable cost-bearing features such as Search Optimization or clustering without a representative workload and a reason to expect benefit.</w:t>
      </w:r>
    </w:p>
    <w:p>
      <w:pPr>
        <w:pStyle w:val="Heading1"/>
      </w:pPr>
      <w:r>
        <w:t>14. Suggested portfolio description</w:t>
      </w:r>
    </w:p>
    <w:p>
      <w:r>
        <w:t>Built a Snowflake Financial Data Lakehouse using the PaySim synthetic transaction dataset, implementing Bronze/Silver/Gold layers, batch ingestion with COPY INTO, data-quality checks, incremental processing with Streams and a scheduled Task, batch-load reconciliation, task-history monitoring, Gold analytics tables, and a four-page Snowflake Streamlit dashboard.</w:t>
      </w:r>
    </w:p>
    <w:p>
      <w:r>
        <w:t>Use the description only alongside features that remain present and demonstrable in the repository. Avoid claiming production fraud detection, complete CDC idempotency, or unimplemented advanced Snowflake features.</w:t>
      </w:r>
    </w:p>
    <w:p>
      <w:pPr>
        <w:pStyle w:val="Heading1"/>
      </w:pPr>
      <w:r>
        <w:t>15. Interview walkthrough</w:t>
      </w:r>
    </w:p>
    <w:p>
      <w:pPr>
        <w:pStyle w:val="ListNumber"/>
        <w:spacing w:after="40"/>
      </w:pPr>
      <w:r>
        <w:t>Start with the problem: turning a large synthetic transaction CSV into a repeatable, queryable analytical pipeline.</w:t>
      </w:r>
    </w:p>
    <w:p>
      <w:pPr>
        <w:pStyle w:val="ListNumber"/>
        <w:spacing w:after="40"/>
      </w:pPr>
      <w:r>
        <w:t>Explain the medallion layers and why raw, curated, and analytical data are separated.</w:t>
      </w:r>
    </w:p>
    <w:p>
      <w:pPr>
        <w:pStyle w:val="ListNumber"/>
        <w:spacing w:after="40"/>
      </w:pPr>
      <w:r>
        <w:t>Describe the four-batch ingestion strategy and the reconciliation to Snowflake load history.</w:t>
      </w:r>
    </w:p>
    <w:p>
      <w:pPr>
        <w:pStyle w:val="ListNumber"/>
        <w:spacing w:after="40"/>
      </w:pPr>
      <w:r>
        <w:t>Explain the difference between initial loading and Stream-based incremental processing.</w:t>
      </w:r>
    </w:p>
    <w:p>
      <w:pPr>
        <w:pStyle w:val="ListNumber"/>
        <w:spacing w:after="40"/>
      </w:pPr>
      <w:r>
        <w:t>Explain why a task can be SKIPPED when SYSTEM$STREAM_HAS_DATA is false.</w:t>
      </w:r>
    </w:p>
    <w:p>
      <w:pPr>
        <w:pStyle w:val="ListNumber"/>
        <w:spacing w:after="40"/>
      </w:pPr>
      <w:r>
        <w:t>Show the audit log and task-history view, including their distinct responsibilities.</w:t>
      </w:r>
    </w:p>
    <w:p>
      <w:pPr>
        <w:pStyle w:val="ListNumber"/>
        <w:spacing w:after="40"/>
      </w:pPr>
      <w:r>
        <w:t>Walk through each dashboard page and validate at least one visible metric with SQL.</w:t>
      </w:r>
    </w:p>
    <w:p>
      <w:pPr>
        <w:pStyle w:val="ListNumber"/>
        <w:spacing w:after="40"/>
      </w:pPr>
      <w:r>
        <w:t>Close with limitations and next steps: end-to-end reconciliation, screenshot evidence, Git hygiene, and any advanced features actually completed.</w:t>
      </w:r>
    </w:p>
    <w:p>
      <w:pPr>
        <w:pStyle w:val="Heading1"/>
      </w:pPr>
      <w:r>
        <w:t>Appendix A — Key references</w:t>
      </w:r>
    </w:p>
    <w:p>
      <w:pPr>
        <w:pStyle w:val="ListBullet"/>
        <w:spacing w:after="40"/>
      </w:pPr>
      <w:r>
        <w:t>PaySim dataset page: https://www.kaggle.com/datasets/ealaxi/paysim1</w:t>
      </w:r>
    </w:p>
    <w:p>
      <w:pPr>
        <w:pStyle w:val="ListBullet"/>
        <w:spacing w:after="40"/>
      </w:pPr>
      <w:r>
        <w:t>Deployed Streamlit app (owner-supplied): https://app.snowflake.com/streamlit/aarcadm/hz40948/#/apps/qiyut6u5zjt32xsc532f</w:t>
      </w:r>
    </w:p>
    <w:p>
      <w:pPr>
        <w:pStyle w:val="ListBullet"/>
        <w:spacing w:after="40"/>
      </w:pPr>
      <w:r>
        <w:t>Project guide: PROJECT_IMPLEMENTATION_GUIDE.md</w:t>
      </w:r>
    </w:p>
    <w:p>
      <w:pPr>
        <w:pStyle w:val="ListBullet"/>
        <w:spacing w:after="40"/>
      </w:pPr>
      <w:r>
        <w:t>SQL audit script: sql/08_audit_and_monitoring.sql</w:t>
      </w:r>
    </w:p>
    <w:p>
      <w:pPr>
        <w:pStyle w:val="Heading1"/>
      </w:pPr>
      <w:r>
        <w:t>Appendix B — Screenshot checklist</w:t>
      </w:r>
    </w:p>
    <w:p>
      <w:pPr>
        <w:pStyle w:val="ListBullet"/>
        <w:spacing w:after="40"/>
      </w:pPr>
      <w:r>
        <w:t>docs/screenshots/executive-overview.png</w:t>
      </w:r>
    </w:p>
    <w:p>
      <w:pPr>
        <w:pStyle w:val="ListBullet"/>
        <w:spacing w:after="40"/>
      </w:pPr>
      <w:r>
        <w:t>docs/screenshots/fraud-analytics.png</w:t>
      </w:r>
    </w:p>
    <w:p>
      <w:pPr>
        <w:pStyle w:val="ListBullet"/>
        <w:spacing w:after="40"/>
      </w:pPr>
      <w:r>
        <w:t>docs/screenshots/fraud-analytics-details.png</w:t>
      </w:r>
    </w:p>
    <w:p>
      <w:pPr>
        <w:pStyle w:val="ListBullet"/>
        <w:spacing w:after="40"/>
      </w:pPr>
      <w:r>
        <w:t>docs/screenshots/transaction-explorer.png</w:t>
      </w:r>
    </w:p>
    <w:p>
      <w:pPr>
        <w:pStyle w:val="ListBullet"/>
        <w:spacing w:after="40"/>
      </w:pPr>
      <w:r>
        <w:t>docs/screenshots/pipeline-monitor.png</w:t>
      </w:r>
    </w:p>
    <w:p>
      <w:pPr>
        <w:pStyle w:val="ListBullet"/>
        <w:spacing w:after="40"/>
      </w:pPr>
      <w:r>
        <w:t>docs/screenshots/pipeline-monitor-details.png</w:t>
      </w:r>
    </w:p>
    <w:p>
      <w:r>
        <w:t>These are expected filenames, not confirmation that the screenshot files have already been added.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Snowflake Financial Data Lakehouse |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65F9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