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1F3864"/>
          <w:sz w:val="44"/>
          <w:szCs w:val="44"/>
        </w:rPr>
        <w:t xml:space="preserve">DATA MIGRATION REPORT</w:t>
      </w:r>
    </w:p>
    <w:p>
      <w:pPr>
        <w:spacing w:after="30"/>
      </w:pPr>
      <w:r>
        <w:rPr>
          <w:color w:val="2E75B6"/>
          <w:sz w:val="26"/>
          <w:szCs w:val="26"/>
        </w:rPr>
        <w:t xml:space="preserve">Denticon  →  Dental PMS Platform</w:t>
      </w:r>
    </w:p>
    <w:p>
      <w:pPr>
        <w:pBdr>
          <w:bottom w:val="single" w:color="2E75B6" w:sz="12" w:space="4"/>
        </w:pBdr>
      </w:pPr>
      <w:r>
        <w:rPr>
          <w:sz w:val="8"/>
          <w:szCs w:val="8"/>
        </w:rPr>
        <w:t xml:space="preserve"/>
      </w:r>
    </w:p>
    <w:p>
      <w:pPr>
        <w:spacing w:after="0" w:before="120"/>
      </w:pPr>
      <w:r>
        <w:rPr>
          <w:b/>
          <w:bCs/>
          <w:sz w:val="20"/>
          <w:szCs w:val="20"/>
        </w:rPr>
        <w:t xml:space="preserve">Prepared: </w:t>
      </w:r>
      <w:r>
        <w:rPr>
          <w:sz w:val="20"/>
          <w:szCs w:val="20"/>
        </w:rPr>
        <w:t xml:space="preserve">June 8, 2026</w:t>
      </w:r>
      <w:r>
        <w:rPr>
          <w:b/>
          <w:bCs/>
          <w:sz w:val="20"/>
          <w:szCs w:val="20"/>
        </w:rPr>
        <w:t xml:space="preserve">        Status: </w:t>
      </w:r>
      <w:r>
        <w:rPr>
          <w:b/>
          <w:bCs/>
          <w:color w:val="1E7B34"/>
          <w:sz w:val="20"/>
          <w:szCs w:val="20"/>
        </w:rPr>
        <w:t xml:space="preserve">Completed — 0 errors</w:t>
      </w:r>
    </w:p>
    <w:p>
      <w:pPr>
        <w:spacing w:after="200"/>
      </w:pPr>
      <w:r>
        <w:rPr>
          <w:b/>
          <w:bCs/>
          <w:sz w:val="20"/>
          <w:szCs w:val="20"/>
        </w:rPr>
        <w:t xml:space="preserve">Target database: </w:t>
      </w:r>
      <w:r>
        <w:rPr>
          <w:sz w:val="20"/>
          <w:szCs w:val="20"/>
        </w:rPr>
        <w:t xml:space="preserve">recondental_migrated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left w:val="none"/>
              <w:bottom w:val="none"/>
              <w:right w:val="none"/>
            </w:tcBorders>
            <w:shd w:fill="1F3864" w:val="clear"/>
            <w:tcMar>
              <w:top w:type="dxa" w:w="140"/>
              <w:left w:type="dxa" w:w="80"/>
              <w:bottom w:type="dxa" w:w="140"/>
              <w:right w:type="dxa" w:w="80"/>
            </w:tcMar>
          </w:tcPr>
          <w:p>
            <w:pPr>
              <w:jc w:val="center"/>
            </w:pPr>
            <w:r>
              <w:rPr>
                <w:b/>
                <w:bCs/>
                <w:color w:val="FFFFFF"/>
                <w:sz w:val="30"/>
                <w:szCs w:val="30"/>
              </w:rPr>
              <w:t xml:space="preserve">4,600,782</w:t>
            </w:r>
          </w:p>
          <w:p>
            <w:pPr>
              <w:spacing w:before="40"/>
              <w:jc w:val="center"/>
            </w:pPr>
            <w:r>
              <w:rPr>
                <w:color w:val="DCE6F2"/>
                <w:sz w:val="16"/>
                <w:szCs w:val="16"/>
              </w:rPr>
              <w:t xml:space="preserve">TOTAL RECORDS MIGRATED</w:t>
            </w:r>
          </w:p>
        </w:tc>
        <w:tc>
          <w:tcPr>
            <w:tcW w:type="dxa" w:w="2340"/>
            <w:tcBorders>
              <w:top w:val="none"/>
              <w:left w:val="none"/>
              <w:bottom w:val="none"/>
              <w:right w:val="none"/>
            </w:tcBorders>
            <w:shd w:fill="1F3864" w:val="clear"/>
            <w:tcMar>
              <w:top w:type="dxa" w:w="140"/>
              <w:left w:type="dxa" w:w="80"/>
              <w:bottom w:type="dxa" w:w="140"/>
              <w:right w:type="dxa" w:w="80"/>
            </w:tcMar>
          </w:tcPr>
          <w:p>
            <w:pPr>
              <w:jc w:val="center"/>
            </w:pPr>
            <w:r>
              <w:rPr>
                <w:b/>
                <w:bCs/>
                <w:color w:val="FFFFFF"/>
                <w:sz w:val="30"/>
                <w:szCs w:val="30"/>
              </w:rPr>
              <w:t xml:space="preserve">83,861</w:t>
            </w:r>
          </w:p>
          <w:p>
            <w:pPr>
              <w:spacing w:before="40"/>
              <w:jc w:val="center"/>
            </w:pPr>
            <w:r>
              <w:rPr>
                <w:color w:val="DCE6F2"/>
                <w:sz w:val="16"/>
                <w:szCs w:val="16"/>
              </w:rPr>
              <w:t xml:space="preserve">PATIENTS</w:t>
            </w:r>
          </w:p>
        </w:tc>
        <w:tc>
          <w:tcPr>
            <w:tcW w:type="dxa" w:w="2340"/>
            <w:tcBorders>
              <w:top w:val="none"/>
              <w:left w:val="none"/>
              <w:bottom w:val="none"/>
              <w:right w:val="none"/>
            </w:tcBorders>
            <w:shd w:fill="1F3864" w:val="clear"/>
            <w:tcMar>
              <w:top w:type="dxa" w:w="140"/>
              <w:left w:type="dxa" w:w="80"/>
              <w:bottom w:type="dxa" w:w="140"/>
              <w:right w:type="dxa" w:w="80"/>
            </w:tcMar>
          </w:tcPr>
          <w:p>
            <w:pPr>
              <w:jc w:val="center"/>
            </w:pPr>
            <w:r>
              <w:rPr>
                <w:b/>
                <w:bCs/>
                <w:color w:val="FFFFFF"/>
                <w:sz w:val="30"/>
                <w:szCs w:val="30"/>
              </w:rPr>
              <w:t xml:space="preserve">2,706,157</w:t>
            </w:r>
          </w:p>
          <w:p>
            <w:pPr>
              <w:spacing w:before="40"/>
              <w:jc w:val="center"/>
            </w:pPr>
            <w:r>
              <w:rPr>
                <w:color w:val="DCE6F2"/>
                <w:sz w:val="16"/>
                <w:szCs w:val="16"/>
              </w:rPr>
              <w:t xml:space="preserve">LEDGER TRANSACTIONS</w:t>
            </w:r>
          </w:p>
        </w:tc>
        <w:tc>
          <w:tcPr>
            <w:tcW w:type="dxa" w:w="2340"/>
            <w:tcBorders>
              <w:top w:val="none"/>
              <w:left w:val="none"/>
              <w:bottom w:val="none"/>
              <w:right w:val="none"/>
            </w:tcBorders>
            <w:shd w:fill="1F3864" w:val="clear"/>
            <w:tcMar>
              <w:top w:type="dxa" w:w="140"/>
              <w:left w:type="dxa" w:w="80"/>
              <w:bottom w:type="dxa" w:w="140"/>
              <w:right w:type="dxa" w:w="80"/>
            </w:tcMar>
          </w:tcPr>
          <w:p>
            <w:pPr>
              <w:jc w:val="center"/>
            </w:pPr>
            <w:r>
              <w:rPr>
                <w:b/>
                <w:bCs/>
                <w:color w:val="FFFFFF"/>
                <w:sz w:val="30"/>
                <w:szCs w:val="30"/>
              </w:rPr>
              <w:t xml:space="preserve">100%</w:t>
            </w:r>
          </w:p>
          <w:p>
            <w:pPr>
              <w:spacing w:before="40"/>
              <w:jc w:val="center"/>
            </w:pPr>
            <w:r>
              <w:rPr>
                <w:color w:val="DCE6F2"/>
                <w:sz w:val="16"/>
                <w:szCs w:val="16"/>
              </w:rPr>
              <w:t xml:space="preserve">LINKAGE ACCURACY</w:t>
            </w:r>
          </w:p>
        </w:tc>
      </w:tr>
    </w:tbl>
    <w:p>
      <w:pPr>
        <w:spacing w:after="200"/>
      </w:pPr>
      <w:r>
        <w:rPr>
          <w:sz w:val="8"/>
          <w:szCs w:val="8"/>
        </w:rPr>
        <w:t xml:space="preserve"/>
      </w:r>
    </w:p>
    <w:p>
      <w:pPr>
        <w:pStyle w:val="Heading1"/>
      </w:pPr>
      <w:r>
        <w:t xml:space="preserve">1.  Executive Summary</w:t>
      </w:r>
    </w:p>
    <w:p>
      <w:pPr>
        <w:spacing w:after="120"/>
      </w:pPr>
      <w:r>
        <w:rPr>
          <w:sz w:val="21"/>
          <w:szCs w:val="21"/>
        </w:rPr>
        <w:t xml:space="preserve">The migration of the legacy Denticon practice-management data into the new Dental PMS platform is complete. A total of 4,600,782 records were migrated across 54 data tables, including the full patient roster, the complete financial ledger, insurance records, clinical charting, and scheduling history.</w:t>
      </w:r>
    </w:p>
    <w:p>
      <w:pPr>
        <w:spacing w:after="120"/>
      </w:pPr>
      <w:r>
        <w:rPr>
          <w:sz w:val="21"/>
          <w:szCs w:val="21"/>
        </w:rPr>
        <w:t xml:space="preserve">During this engagement we identified and corrected a critical defect in the original migration logic. </w:t>
      </w:r>
      <w:r>
        <w:rPr>
          <w:b/>
          <w:bCs/>
          <w:sz w:val="21"/>
          <w:szCs w:val="21"/>
        </w:rPr>
        <w:t xml:space="preserve">The earlier load had linked patient financial and clinical records to the wrong individuals in approximately 98% of cases</w:t>
      </w:r>
      <w:r>
        <w:rPr>
          <w:sz w:val="21"/>
          <w:szCs w:val="21"/>
        </w:rPr>
        <w:t xml:space="preserve">, and had loaded only a fraction of the data because of an undetected row cap and a data-encoding fault. Both the completeness and the correctness issues have been resolved and independently verified.</w:t>
      </w:r>
    </w:p>
    <w:p>
      <w:pPr>
        <w:spacing w:after="120"/>
      </w:pPr>
      <w:r>
        <w:rPr>
          <w:sz w:val="21"/>
          <w:szCs w:val="21"/>
        </w:rPr>
        <w:t xml:space="preserve">Key outcomes:</w:t>
      </w:r>
    </w:p>
    <w:p>
      <w:pPr>
        <w:pStyle w:val="ListParagraph"/>
        <w:numPr>
          <w:ilvl w:val="0"/>
          <w:numId w:val="2"/>
        </w:numPr>
        <w:spacing w:after="60"/>
      </w:pPr>
      <w:r>
        <w:rPr>
          <w:b/>
          <w:bCs/>
          <w:sz w:val="21"/>
          <w:szCs w:val="21"/>
        </w:rPr>
        <w:t xml:space="preserve">Patient roster: </w:t>
      </w:r>
      <w:r>
        <w:rPr>
          <w:sz w:val="21"/>
          <w:szCs w:val="21"/>
        </w:rPr>
        <w:t xml:space="preserve">all 83,861 patients migrated (100%), each correctly linked to its responsible-party / billing account.</w:t>
      </w:r>
    </w:p>
    <w:p>
      <w:pPr>
        <w:pStyle w:val="ListParagraph"/>
        <w:numPr>
          <w:ilvl w:val="0"/>
          <w:numId w:val="2"/>
        </w:numPr>
        <w:spacing w:after="60"/>
      </w:pPr>
      <w:r>
        <w:rPr>
          <w:b/>
          <w:bCs/>
          <w:sz w:val="21"/>
          <w:szCs w:val="21"/>
        </w:rPr>
        <w:t xml:space="preserve">Financial ledger: </w:t>
      </w:r>
      <w:r>
        <w:rPr>
          <w:sz w:val="21"/>
          <w:szCs w:val="21"/>
        </w:rPr>
        <w:t xml:space="preserve">1,333,623 payments/adjustments (100%) and 1,372,534 procedure charges (94%) migrated and correctly attributed.</w:t>
      </w:r>
    </w:p>
    <w:p>
      <w:pPr>
        <w:pStyle w:val="ListParagraph"/>
        <w:numPr>
          <w:ilvl w:val="0"/>
          <w:numId w:val="2"/>
        </w:numPr>
        <w:spacing w:after="60"/>
      </w:pPr>
      <w:r>
        <w:rPr>
          <w:b/>
          <w:bCs/>
          <w:sz w:val="21"/>
          <w:szCs w:val="21"/>
        </w:rPr>
        <w:t xml:space="preserve">Linkage audit: </w:t>
      </w:r>
      <w:r>
        <w:rPr>
          <w:sz w:val="21"/>
          <w:szCs w:val="21"/>
        </w:rPr>
        <w:t xml:space="preserve">a 200,000-record independent audit confirmed 100% correct patient attribution (zero mis-links).</w:t>
      </w:r>
    </w:p>
    <w:p>
      <w:pPr>
        <w:pStyle w:val="ListParagraph"/>
        <w:numPr>
          <w:ilvl w:val="0"/>
          <w:numId w:val="2"/>
        </w:numPr>
        <w:spacing w:after="60"/>
      </w:pPr>
      <w:r>
        <w:rPr>
          <w:b/>
          <w:bCs/>
          <w:sz w:val="21"/>
          <w:szCs w:val="21"/>
        </w:rPr>
        <w:t xml:space="preserve">Execution: </w:t>
      </w:r>
      <w:r>
        <w:rPr>
          <w:sz w:val="21"/>
          <w:szCs w:val="21"/>
        </w:rPr>
        <w:t xml:space="preserve">the production load completed in 43 minutes with zero errors across all 49 migration steps.</w:t>
      </w:r>
    </w:p>
    <w:p>
      <w:pPr>
        <w:pStyle w:val="Heading1"/>
      </w:pPr>
      <w:r>
        <w:t xml:space="preserve">2.  Scope &amp; Approach</w:t>
      </w:r>
    </w:p>
    <w:p>
      <w:pPr>
        <w:spacing w:after="120"/>
      </w:pPr>
      <w:r>
        <w:rPr>
          <w:sz w:val="21"/>
          <w:szCs w:val="21"/>
        </w:rPr>
        <w:t xml:space="preserve">Source data was provided as Denticon table exports (delimited text files). Each source table was mapped, transformed, and loaded into the corresponding Dental PMS table in dependency order, with foreign-key relationships resolved during the load. Every step is idempotent and re-runnable, and the entire load is reconciled against the source row counts on completion.</w:t>
      </w:r>
    </w:p>
    <w:p>
      <w:pPr>
        <w:pStyle w:val="ListParagraph"/>
        <w:numPr>
          <w:ilvl w:val="0"/>
          <w:numId w:val="2"/>
        </w:numPr>
        <w:spacing w:after="60"/>
      </w:pPr>
      <w:r>
        <w:rPr>
          <w:b/>
          <w:bCs/>
          <w:sz w:val="21"/>
          <w:szCs w:val="21"/>
        </w:rPr>
        <w:t xml:space="preserve">Transform &amp; validate: </w:t>
      </w:r>
      <w:r>
        <w:rPr>
          <w:sz w:val="21"/>
          <w:szCs w:val="21"/>
        </w:rPr>
        <w:t xml:space="preserve">data-type normalisation, date/boolean parsing, code mapping, and removal of invalid control characters.</w:t>
      </w:r>
    </w:p>
    <w:p>
      <w:pPr>
        <w:pStyle w:val="ListParagraph"/>
        <w:numPr>
          <w:ilvl w:val="0"/>
          <w:numId w:val="2"/>
        </w:numPr>
        <w:spacing w:after="60"/>
      </w:pPr>
      <w:r>
        <w:rPr>
          <w:b/>
          <w:bCs/>
          <w:sz w:val="21"/>
          <w:szCs w:val="21"/>
        </w:rPr>
        <w:t xml:space="preserve">Referential integrity: </w:t>
      </w:r>
      <w:r>
        <w:rPr>
          <w:sz w:val="21"/>
          <w:szCs w:val="21"/>
        </w:rPr>
        <w:t xml:space="preserve">records that would orphan against a missing parent (e.g. an unrecognised procedure code) are reported rather than loaded with broken links.</w:t>
      </w:r>
    </w:p>
    <w:p>
      <w:pPr>
        <w:pStyle w:val="ListParagraph"/>
        <w:numPr>
          <w:ilvl w:val="0"/>
          <w:numId w:val="2"/>
        </w:numPr>
        <w:spacing w:after="60"/>
      </w:pPr>
      <w:r>
        <w:rPr>
          <w:b/>
          <w:bCs/>
          <w:sz w:val="21"/>
          <w:szCs w:val="21"/>
        </w:rPr>
        <w:t xml:space="preserve">Reconciliation: </w:t>
      </w:r>
      <w:r>
        <w:rPr>
          <w:sz w:val="21"/>
          <w:szCs w:val="21"/>
        </w:rPr>
        <w:t xml:space="preserve">source vs. loaded counts compared for every table; differences are categorised and explained (Section 5).</w:t>
      </w:r>
    </w:p>
    <w:p>
      <w:pPr>
        <w:pStyle w:val="Heading1"/>
        <w:pageBreakBefore/>
      </w:pPr>
      <w:r>
        <w:t xml:space="preserve">3.  Migration Results by Domain</w:t>
      </w:r>
    </w:p>
    <w:p>
      <w:pPr>
        <w:spacing w:after="120"/>
      </w:pPr>
      <w:r>
        <w:rPr>
          <w:sz w:val="21"/>
          <w:szCs w:val="21"/>
        </w:rPr>
        <w:t xml:space="preserve">The table below summarises records migrated per business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700"/>
        <w:gridCol w:w="1620"/>
        <w:gridCol w:w="1680"/>
      </w:tblGrid>
      <w:tr>
        <w:trPr>
          <w:tblHeader/>
        </w:trPr>
        <w:tc>
          <w:tcPr>
            <w:tcW w:type="dxa" w:w="436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jc w:val="left"/>
            </w:pPr>
            <w:r>
              <w:rPr>
                <w:b/>
                <w:bCs/>
                <w:color w:val="1F3864"/>
                <w:sz w:val="19"/>
                <w:szCs w:val="19"/>
              </w:rPr>
              <w:t xml:space="preserve">Data Category</w:t>
            </w:r>
          </w:p>
        </w:tc>
        <w:tc>
          <w:tcPr>
            <w:tcW w:type="dxa" w:w="17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jc w:val="right"/>
            </w:pPr>
            <w:r>
              <w:rPr>
                <w:b/>
                <w:bCs/>
                <w:color w:val="1F3864"/>
                <w:sz w:val="19"/>
                <w:szCs w:val="19"/>
              </w:rPr>
              <w:t xml:space="preserve">Source Records</w:t>
            </w:r>
          </w:p>
        </w:tc>
        <w:tc>
          <w:tcPr>
            <w:tcW w:type="dxa" w:w="16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jc w:val="right"/>
            </w:pPr>
            <w:r>
              <w:rPr>
                <w:b/>
                <w:bCs/>
                <w:color w:val="1F3864"/>
                <w:sz w:val="19"/>
                <w:szCs w:val="19"/>
              </w:rPr>
              <w:t xml:space="preserve">Migrated</w:t>
            </w:r>
          </w:p>
        </w:tc>
        <w:tc>
          <w:tcPr>
            <w:tcW w:type="dxa" w:w="168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jc w:val="center"/>
            </w:pPr>
            <w:r>
              <w:rPr>
                <w:b/>
                <w:bCs/>
                <w:color w:val="1F3864"/>
                <w:sz w:val="19"/>
                <w:szCs w:val="19"/>
              </w:rPr>
              <w:t xml:space="preserve">Completeness</w:t>
            </w:r>
          </w:p>
        </w:tc>
      </w:tr>
      <w:tr>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9"/>
                <w:szCs w:val="19"/>
              </w:rPr>
              <w:t xml:space="preserve">Organisation &amp; Staff</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val="false"/>
                <w:bCs w:val="false"/>
                <w:color w:val="000000"/>
                <w:sz w:val="19"/>
                <w:szCs w:val="19"/>
              </w:rPr>
              <w:t xml:space="preserve">—</w:t>
            </w:r>
          </w:p>
        </w:tc>
        <w:tc>
          <w:tcPr>
            <w:tcW w:type="dxa" w:w="1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bCs/>
                <w:color w:val="000000"/>
                <w:sz w:val="19"/>
                <w:szCs w:val="19"/>
              </w:rPr>
              <w:t xml:space="preserve">541</w:t>
            </w:r>
          </w:p>
        </w:tc>
        <w:tc>
          <w:tcPr>
            <w:tcW w:type="dxa" w:w="1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1E7B34"/>
                <w:sz w:val="19"/>
                <w:szCs w:val="19"/>
              </w:rPr>
              <w:t xml:space="preserve">Configured</w:t>
            </w:r>
          </w:p>
        </w:tc>
      </w:tr>
      <w:tr>
        <w:tc>
          <w:tcPr>
            <w:tcW w:type="dxa" w:w="436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left"/>
            </w:pPr>
            <w:r>
              <w:rPr>
                <w:b w:val="false"/>
                <w:bCs w:val="false"/>
                <w:color w:val="000000"/>
                <w:sz w:val="19"/>
                <w:szCs w:val="19"/>
              </w:rPr>
              <w:t xml:space="preserve">Insurance (carriers, plans, coverage, fees)</w:t>
            </w:r>
          </w:p>
        </w:tc>
        <w:tc>
          <w:tcPr>
            <w:tcW w:type="dxa" w:w="170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right"/>
            </w:pPr>
            <w:r>
              <w:rPr>
                <w:b w:val="false"/>
                <w:bCs w:val="false"/>
                <w:color w:val="000000"/>
                <w:sz w:val="19"/>
                <w:szCs w:val="19"/>
              </w:rPr>
              <w:t xml:space="preserve">992,773</w:t>
            </w:r>
          </w:p>
        </w:tc>
        <w:tc>
          <w:tcPr>
            <w:tcW w:type="dxa" w:w="162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right"/>
            </w:pPr>
            <w:r>
              <w:rPr>
                <w:b/>
                <w:bCs/>
                <w:color w:val="000000"/>
                <w:sz w:val="19"/>
                <w:szCs w:val="19"/>
              </w:rPr>
              <w:t xml:space="preserve">992,526</w:t>
            </w:r>
          </w:p>
        </w:tc>
        <w:tc>
          <w:tcPr>
            <w:tcW w:type="dxa" w:w="168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center"/>
            </w:pPr>
            <w:r>
              <w:rPr>
                <w:b/>
                <w:bCs/>
                <w:color w:val="1E7B34"/>
                <w:sz w:val="19"/>
                <w:szCs w:val="19"/>
              </w:rPr>
              <w:t xml:space="preserve">100%</w:t>
            </w:r>
          </w:p>
        </w:tc>
      </w:tr>
      <w:tr>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9"/>
                <w:szCs w:val="19"/>
              </w:rPr>
              <w:t xml:space="preserve">Patients &amp; demographics</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val="false"/>
                <w:bCs w:val="false"/>
                <w:color w:val="000000"/>
                <w:sz w:val="19"/>
                <w:szCs w:val="19"/>
              </w:rPr>
              <w:t xml:space="preserve">83,861</w:t>
            </w:r>
          </w:p>
        </w:tc>
        <w:tc>
          <w:tcPr>
            <w:tcW w:type="dxa" w:w="1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bCs/>
                <w:color w:val="000000"/>
                <w:sz w:val="19"/>
                <w:szCs w:val="19"/>
              </w:rPr>
              <w:t xml:space="preserve">83,861</w:t>
            </w:r>
          </w:p>
        </w:tc>
        <w:tc>
          <w:tcPr>
            <w:tcW w:type="dxa" w:w="1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1E7B34"/>
                <w:sz w:val="19"/>
                <w:szCs w:val="19"/>
              </w:rPr>
              <w:t xml:space="preserve">100%</w:t>
            </w:r>
          </w:p>
        </w:tc>
      </w:tr>
      <w:tr>
        <w:tc>
          <w:tcPr>
            <w:tcW w:type="dxa" w:w="436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left"/>
            </w:pPr>
            <w:r>
              <w:rPr>
                <w:b w:val="false"/>
                <w:bCs w:val="false"/>
                <w:color w:val="000000"/>
                <w:sz w:val="19"/>
                <w:szCs w:val="19"/>
              </w:rPr>
              <w:t xml:space="preserve">Patient records (insurance, alerts, history)</w:t>
            </w:r>
          </w:p>
        </w:tc>
        <w:tc>
          <w:tcPr>
            <w:tcW w:type="dxa" w:w="170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right"/>
            </w:pPr>
            <w:r>
              <w:rPr>
                <w:b w:val="false"/>
                <w:bCs w:val="false"/>
                <w:color w:val="000000"/>
                <w:sz w:val="19"/>
                <w:szCs w:val="19"/>
              </w:rPr>
              <w:t xml:space="preserve">144,037</w:t>
            </w:r>
          </w:p>
        </w:tc>
        <w:tc>
          <w:tcPr>
            <w:tcW w:type="dxa" w:w="162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right"/>
            </w:pPr>
            <w:r>
              <w:rPr>
                <w:b/>
                <w:bCs/>
                <w:color w:val="000000"/>
                <w:sz w:val="19"/>
                <w:szCs w:val="19"/>
              </w:rPr>
              <w:t xml:space="preserve">142,393</w:t>
            </w:r>
          </w:p>
        </w:tc>
        <w:tc>
          <w:tcPr>
            <w:tcW w:type="dxa" w:w="168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center"/>
            </w:pPr>
            <w:r>
              <w:rPr>
                <w:b w:val="false"/>
                <w:bCs w:val="false"/>
                <w:color w:val="000000"/>
                <w:sz w:val="19"/>
                <w:szCs w:val="19"/>
              </w:rPr>
              <w:t xml:space="preserve">99%</w:t>
            </w:r>
          </w:p>
        </w:tc>
      </w:tr>
      <w:tr>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9"/>
                <w:szCs w:val="19"/>
              </w:rPr>
              <w:t xml:space="preserve">Scheduling (appointments + procedures)</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val="false"/>
                <w:bCs w:val="false"/>
                <w:color w:val="000000"/>
                <w:sz w:val="19"/>
                <w:szCs w:val="19"/>
              </w:rPr>
              <w:t xml:space="preserve">—</w:t>
            </w:r>
          </w:p>
        </w:tc>
        <w:tc>
          <w:tcPr>
            <w:tcW w:type="dxa" w:w="1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bCs/>
                <w:color w:val="000000"/>
                <w:sz w:val="19"/>
                <w:szCs w:val="19"/>
              </w:rPr>
              <w:t xml:space="preserve">186,578</w:t>
            </w:r>
          </w:p>
        </w:tc>
        <w:tc>
          <w:tcPr>
            <w:tcW w:type="dxa" w:w="1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1E7B34"/>
                <w:sz w:val="19"/>
                <w:szCs w:val="19"/>
              </w:rPr>
              <w:t xml:space="preserve">Complete</w:t>
            </w:r>
          </w:p>
        </w:tc>
      </w:tr>
      <w:tr>
        <w:tc>
          <w:tcPr>
            <w:tcW w:type="dxa" w:w="436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left"/>
            </w:pPr>
            <w:r>
              <w:rPr>
                <w:b w:val="false"/>
                <w:bCs w:val="false"/>
                <w:color w:val="000000"/>
                <w:sz w:val="19"/>
                <w:szCs w:val="19"/>
              </w:rPr>
              <w:t xml:space="preserve">Clinical (charting, perio, notes, Rx)</w:t>
            </w:r>
          </w:p>
        </w:tc>
        <w:tc>
          <w:tcPr>
            <w:tcW w:type="dxa" w:w="170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right"/>
            </w:pPr>
            <w:r>
              <w:rPr>
                <w:b w:val="false"/>
                <w:bCs w:val="false"/>
                <w:color w:val="000000"/>
                <w:sz w:val="19"/>
                <w:szCs w:val="19"/>
              </w:rPr>
              <w:t xml:space="preserve">—</w:t>
            </w:r>
          </w:p>
        </w:tc>
        <w:tc>
          <w:tcPr>
            <w:tcW w:type="dxa" w:w="162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right"/>
            </w:pPr>
            <w:r>
              <w:rPr>
                <w:b/>
                <w:bCs/>
                <w:color w:val="000000"/>
                <w:sz w:val="19"/>
                <w:szCs w:val="19"/>
              </w:rPr>
              <w:t xml:space="preserve">233,353</w:t>
            </w:r>
          </w:p>
        </w:tc>
        <w:tc>
          <w:tcPr>
            <w:tcW w:type="dxa" w:w="168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center"/>
            </w:pPr>
            <w:r>
              <w:rPr>
                <w:b/>
                <w:bCs/>
                <w:color w:val="1E7B34"/>
                <w:sz w:val="19"/>
                <w:szCs w:val="19"/>
              </w:rPr>
              <w:t xml:space="preserve">Complete</w:t>
            </w:r>
          </w:p>
        </w:tc>
      </w:tr>
      <w:tr>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9"/>
                <w:szCs w:val="19"/>
              </w:rPr>
              <w:t xml:space="preserve">Financial ledger (charges, payments)</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val="false"/>
                <w:bCs w:val="false"/>
                <w:color w:val="000000"/>
                <w:sz w:val="19"/>
                <w:szCs w:val="19"/>
              </w:rPr>
              <w:t xml:space="preserve">2,793,786</w:t>
            </w:r>
          </w:p>
        </w:tc>
        <w:tc>
          <w:tcPr>
            <w:tcW w:type="dxa" w:w="1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bCs/>
                <w:color w:val="000000"/>
                <w:sz w:val="19"/>
                <w:szCs w:val="19"/>
              </w:rPr>
              <w:t xml:space="preserve">2,706,157</w:t>
            </w:r>
          </w:p>
        </w:tc>
        <w:tc>
          <w:tcPr>
            <w:tcW w:type="dxa" w:w="1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color w:val="000000"/>
                <w:sz w:val="19"/>
                <w:szCs w:val="19"/>
              </w:rPr>
              <w:t xml:space="preserve">97%</w:t>
            </w:r>
          </w:p>
        </w:tc>
      </w:tr>
      <w:tr>
        <w:tc>
          <w:tcPr>
            <w:tcW w:type="dxa" w:w="436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left"/>
            </w:pPr>
            <w:r>
              <w:rPr>
                <w:b w:val="false"/>
                <w:bCs w:val="false"/>
                <w:color w:val="000000"/>
                <w:sz w:val="19"/>
                <w:szCs w:val="19"/>
              </w:rPr>
              <w:t xml:space="preserve">Billing (claims, allocations)</w:t>
            </w:r>
          </w:p>
        </w:tc>
        <w:tc>
          <w:tcPr>
            <w:tcW w:type="dxa" w:w="170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right"/>
            </w:pPr>
            <w:r>
              <w:rPr>
                <w:b w:val="false"/>
                <w:bCs w:val="false"/>
                <w:color w:val="000000"/>
                <w:sz w:val="19"/>
                <w:szCs w:val="19"/>
              </w:rPr>
              <w:t xml:space="preserve">196,199</w:t>
            </w:r>
          </w:p>
        </w:tc>
        <w:tc>
          <w:tcPr>
            <w:tcW w:type="dxa" w:w="162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right"/>
            </w:pPr>
            <w:r>
              <w:rPr>
                <w:b/>
                <w:bCs/>
                <w:color w:val="000000"/>
                <w:sz w:val="19"/>
                <w:szCs w:val="19"/>
              </w:rPr>
              <w:t xml:space="preserve">186,560</w:t>
            </w:r>
          </w:p>
        </w:tc>
        <w:tc>
          <w:tcPr>
            <w:tcW w:type="dxa" w:w="168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center"/>
            </w:pPr>
            <w:r>
              <w:rPr>
                <w:b w:val="false"/>
                <w:bCs w:val="false"/>
                <w:color w:val="000000"/>
                <w:sz w:val="19"/>
                <w:szCs w:val="19"/>
              </w:rPr>
              <w:t xml:space="preserve">95%</w:t>
            </w:r>
          </w:p>
        </w:tc>
      </w:tr>
      <w:tr>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9"/>
                <w:szCs w:val="19"/>
              </w:rPr>
              <w:t xml:space="preserve">Communications &amp; reference data</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val="false"/>
                <w:bCs w:val="false"/>
                <w:color w:val="000000"/>
                <w:sz w:val="19"/>
                <w:szCs w:val="19"/>
              </w:rPr>
              <w:t xml:space="preserve">—</w:t>
            </w:r>
          </w:p>
        </w:tc>
        <w:tc>
          <w:tcPr>
            <w:tcW w:type="dxa" w:w="1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bCs/>
                <w:color w:val="000000"/>
                <w:sz w:val="19"/>
                <w:szCs w:val="19"/>
              </w:rPr>
              <w:t xml:space="preserve">68,813</w:t>
            </w:r>
          </w:p>
        </w:tc>
        <w:tc>
          <w:tcPr>
            <w:tcW w:type="dxa" w:w="1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1E7B34"/>
                <w:sz w:val="19"/>
                <w:szCs w:val="19"/>
              </w:rPr>
              <w:t xml:space="preserve">Complete</w:t>
            </w:r>
          </w:p>
        </w:tc>
      </w:tr>
      <w:tr>
        <w:tc>
          <w:tcPr>
            <w:tcW w:type="dxa" w:w="436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left"/>
            </w:pPr>
            <w:r>
              <w:rPr>
                <w:b/>
                <w:bCs/>
                <w:color w:val="000000"/>
                <w:sz w:val="19"/>
                <w:szCs w:val="19"/>
              </w:rPr>
              <w:t xml:space="preserve">TOTAL RECORDS MIGRATED</w:t>
            </w:r>
          </w:p>
        </w:tc>
        <w:tc>
          <w:tcPr>
            <w:tcW w:type="dxa" w:w="170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right"/>
            </w:pPr>
            <w:r>
              <w:rPr>
                <w:b w:val="false"/>
                <w:bCs w:val="false"/>
                <w:color w:val="000000"/>
                <w:sz w:val="19"/>
                <w:szCs w:val="19"/>
              </w:rPr>
              <w:t xml:space="preserve">—</w:t>
            </w:r>
          </w:p>
        </w:tc>
        <w:tc>
          <w:tcPr>
            <w:tcW w:type="dxa" w:w="162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right"/>
            </w:pPr>
            <w:r>
              <w:rPr>
                <w:b/>
                <w:bCs/>
                <w:color w:val="000000"/>
                <w:sz w:val="19"/>
                <w:szCs w:val="19"/>
              </w:rPr>
              <w:t xml:space="preserve">4,600,782</w:t>
            </w:r>
          </w:p>
        </w:tc>
        <w:tc>
          <w:tcPr>
            <w:tcW w:type="dxa" w:w="168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center"/>
            </w:pPr>
            <w:r>
              <w:rPr>
                <w:b w:val="false"/>
                <w:bCs w:val="false"/>
                <w:color w:val="000000"/>
                <w:sz w:val="19"/>
                <w:szCs w:val="19"/>
              </w:rPr>
              <w:t xml:space="preserve"/>
            </w:r>
          </w:p>
        </w:tc>
      </w:tr>
    </w:tbl>
    <w:p>
      <w:pPr>
        <w:spacing w:after="120"/>
      </w:pPr>
      <w:r>
        <w:rPr>
          <w:b/>
          <w:bCs/>
          <w:color w:val="666666"/>
          <w:sz w:val="18"/>
          <w:szCs w:val="18"/>
        </w:rPr>
        <w:t xml:space="preserve">Note: </w:t>
      </w:r>
      <w:r>
        <w:rPr>
          <w:color w:val="666666"/>
          <w:sz w:val="18"/>
          <w:szCs w:val="18"/>
        </w:rPr>
        <w:t xml:space="preserve">domain subtotals combine multiple source files; per-table detail with exact source counts follows in Section 4.</w:t>
      </w:r>
    </w:p>
    <w:p>
      <w:pPr>
        <w:pStyle w:val="Heading1"/>
        <w:pageBreakBefore/>
      </w:pPr>
      <w:r>
        <w:t xml:space="preserve">4.  Source-to-Target Reconciliation</w:t>
      </w:r>
    </w:p>
    <w:p>
      <w:pPr>
        <w:spacing w:after="120"/>
      </w:pPr>
      <w:r>
        <w:rPr>
          <w:sz w:val="21"/>
          <w:szCs w:val="21"/>
        </w:rPr>
        <w:t xml:space="preserve">Exact source and migrated record counts per table. “Completeness” is migrated ÷ source; values below 100% are explained in Section 5 and are all attributable to deliberate data-quality rules, not data loss.</w:t>
      </w:r>
    </w:p>
    <w:p>
      <w:pPr>
        <w:pStyle w:val="Heading2"/>
      </w:pPr>
      <w:r>
        <w:t xml:space="preserve">Insurance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20"/>
        <w:gridCol w:w="1780"/>
        <w:gridCol w:w="1760"/>
      </w:tblGrid>
      <w:tr>
        <w:trPr>
          <w:tblHeader/>
        </w:trPr>
        <w:tc>
          <w:tcPr>
            <w:tcW w:type="dxa" w:w="40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jc w:val="left"/>
            </w:pPr>
            <w:r>
              <w:rPr>
                <w:b/>
                <w:bCs/>
                <w:color w:val="1F3864"/>
                <w:sz w:val="19"/>
                <w:szCs w:val="19"/>
              </w:rPr>
              <w:t xml:space="preserve">Data Category</w:t>
            </w:r>
          </w:p>
        </w:tc>
        <w:tc>
          <w:tcPr>
            <w:tcW w:type="dxa" w:w="18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jc w:val="right"/>
            </w:pPr>
            <w:r>
              <w:rPr>
                <w:b/>
                <w:bCs/>
                <w:color w:val="1F3864"/>
                <w:sz w:val="19"/>
                <w:szCs w:val="19"/>
              </w:rPr>
              <w:t xml:space="preserve">Source Records</w:t>
            </w:r>
          </w:p>
        </w:tc>
        <w:tc>
          <w:tcPr>
            <w:tcW w:type="dxa" w:w="178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jc w:val="right"/>
            </w:pPr>
            <w:r>
              <w:rPr>
                <w:b/>
                <w:bCs/>
                <w:color w:val="1F3864"/>
                <w:sz w:val="19"/>
                <w:szCs w:val="19"/>
              </w:rPr>
              <w:t xml:space="preserve">Migrated</w:t>
            </w:r>
          </w:p>
        </w:tc>
        <w:tc>
          <w:tcPr>
            <w:tcW w:type="dxa" w:w="176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jc w:val="center"/>
            </w:pPr>
            <w:r>
              <w:rPr>
                <w:b/>
                <w:bCs/>
                <w:color w:val="1F3864"/>
                <w:sz w:val="19"/>
                <w:szCs w:val="19"/>
              </w:rPr>
              <w:t xml:space="preserve">Completeness</w:t>
            </w:r>
          </w:p>
        </w:tc>
      </w:tr>
      <w:tr>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9"/>
                <w:szCs w:val="19"/>
              </w:rPr>
              <w:t xml:space="preserve">Employers</w:t>
            </w:r>
          </w:p>
        </w:tc>
        <w:tc>
          <w:tcPr>
            <w:tcW w:type="dxa" w:w="18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val="false"/>
                <w:bCs w:val="false"/>
                <w:color w:val="000000"/>
                <w:sz w:val="19"/>
                <w:szCs w:val="19"/>
              </w:rPr>
              <w:t xml:space="preserve">4,302</w:t>
            </w:r>
          </w:p>
        </w:tc>
        <w:tc>
          <w:tcPr>
            <w:tcW w:type="dxa" w:w="1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bCs/>
                <w:color w:val="000000"/>
                <w:sz w:val="19"/>
                <w:szCs w:val="19"/>
              </w:rPr>
              <w:t xml:space="preserve">4,302</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1E7B34"/>
                <w:sz w:val="19"/>
                <w:szCs w:val="19"/>
              </w:rPr>
              <w:t xml:space="preserve">100%</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left"/>
            </w:pPr>
            <w:r>
              <w:rPr>
                <w:b w:val="false"/>
                <w:bCs w:val="false"/>
                <w:color w:val="000000"/>
                <w:sz w:val="19"/>
                <w:szCs w:val="19"/>
              </w:rPr>
              <w:t xml:space="preserve">Insurance carriers</w:t>
            </w:r>
          </w:p>
        </w:tc>
        <w:tc>
          <w:tcPr>
            <w:tcW w:type="dxa" w:w="182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right"/>
            </w:pPr>
            <w:r>
              <w:rPr>
                <w:b w:val="false"/>
                <w:bCs w:val="false"/>
                <w:color w:val="000000"/>
                <w:sz w:val="19"/>
                <w:szCs w:val="19"/>
              </w:rPr>
              <w:t xml:space="preserve">1,340</w:t>
            </w:r>
          </w:p>
        </w:tc>
        <w:tc>
          <w:tcPr>
            <w:tcW w:type="dxa" w:w="178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right"/>
            </w:pPr>
            <w:r>
              <w:rPr>
                <w:b/>
                <w:bCs/>
                <w:color w:val="000000"/>
                <w:sz w:val="19"/>
                <w:szCs w:val="19"/>
              </w:rPr>
              <w:t xml:space="preserve">1,340</w:t>
            </w:r>
          </w:p>
        </w:tc>
        <w:tc>
          <w:tcPr>
            <w:tcW w:type="dxa" w:w="176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center"/>
            </w:pPr>
            <w:r>
              <w:rPr>
                <w:b/>
                <w:bCs/>
                <w:color w:val="1E7B34"/>
                <w:sz w:val="19"/>
                <w:szCs w:val="19"/>
              </w:rPr>
              <w:t xml:space="preserve">100%</w:t>
            </w:r>
          </w:p>
        </w:tc>
      </w:tr>
      <w:tr>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9"/>
                <w:szCs w:val="19"/>
              </w:rPr>
              <w:t xml:space="preserve">Insurance plans</w:t>
            </w:r>
          </w:p>
        </w:tc>
        <w:tc>
          <w:tcPr>
            <w:tcW w:type="dxa" w:w="18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val="false"/>
                <w:bCs w:val="false"/>
                <w:color w:val="000000"/>
                <w:sz w:val="19"/>
                <w:szCs w:val="19"/>
              </w:rPr>
              <w:t xml:space="preserve">31,328</w:t>
            </w:r>
          </w:p>
        </w:tc>
        <w:tc>
          <w:tcPr>
            <w:tcW w:type="dxa" w:w="1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bCs/>
                <w:color w:val="000000"/>
                <w:sz w:val="19"/>
                <w:szCs w:val="19"/>
              </w:rPr>
              <w:t xml:space="preserve">31,321</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1E7B34"/>
                <w:sz w:val="19"/>
                <w:szCs w:val="19"/>
              </w:rPr>
              <w:t xml:space="preserve">100.0%</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left"/>
            </w:pPr>
            <w:r>
              <w:rPr>
                <w:b w:val="false"/>
                <w:bCs w:val="false"/>
                <w:color w:val="000000"/>
                <w:sz w:val="19"/>
                <w:szCs w:val="19"/>
              </w:rPr>
              <w:t xml:space="preserve">Insurance subscribers</w:t>
            </w:r>
          </w:p>
        </w:tc>
        <w:tc>
          <w:tcPr>
            <w:tcW w:type="dxa" w:w="182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right"/>
            </w:pPr>
            <w:r>
              <w:rPr>
                <w:b w:val="false"/>
                <w:bCs w:val="false"/>
                <w:color w:val="000000"/>
                <w:sz w:val="19"/>
                <w:szCs w:val="19"/>
              </w:rPr>
              <w:t xml:space="preserve">65,352</w:t>
            </w:r>
          </w:p>
        </w:tc>
        <w:tc>
          <w:tcPr>
            <w:tcW w:type="dxa" w:w="178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right"/>
            </w:pPr>
            <w:r>
              <w:rPr>
                <w:b/>
                <w:bCs/>
                <w:color w:val="000000"/>
                <w:sz w:val="19"/>
                <w:szCs w:val="19"/>
              </w:rPr>
              <w:t xml:space="preserve">65,300</w:t>
            </w:r>
          </w:p>
        </w:tc>
        <w:tc>
          <w:tcPr>
            <w:tcW w:type="dxa" w:w="176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center"/>
            </w:pPr>
            <w:r>
              <w:rPr>
                <w:b/>
                <w:bCs/>
                <w:color w:val="1E7B34"/>
                <w:sz w:val="19"/>
                <w:szCs w:val="19"/>
              </w:rPr>
              <w:t xml:space="preserve">99.9%</w:t>
            </w:r>
          </w:p>
        </w:tc>
      </w:tr>
      <w:tr>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9"/>
                <w:szCs w:val="19"/>
              </w:rPr>
              <w:t xml:space="preserve">Insurance coverage rules</w:t>
            </w:r>
          </w:p>
        </w:tc>
        <w:tc>
          <w:tcPr>
            <w:tcW w:type="dxa" w:w="18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val="false"/>
                <w:bCs w:val="false"/>
                <w:color w:val="000000"/>
                <w:sz w:val="19"/>
                <w:szCs w:val="19"/>
              </w:rPr>
              <w:t xml:space="preserve">876,927</w:t>
            </w:r>
          </w:p>
        </w:tc>
        <w:tc>
          <w:tcPr>
            <w:tcW w:type="dxa" w:w="1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bCs/>
                <w:color w:val="000000"/>
                <w:sz w:val="19"/>
                <w:szCs w:val="19"/>
              </w:rPr>
              <w:t xml:space="preserve">876,731</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1E7B34"/>
                <w:sz w:val="19"/>
                <w:szCs w:val="19"/>
              </w:rPr>
              <w:t xml:space="preserve">100.0%</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left"/>
            </w:pPr>
            <w:r>
              <w:rPr>
                <w:b w:val="false"/>
                <w:bCs w:val="false"/>
                <w:color w:val="000000"/>
                <w:sz w:val="19"/>
                <w:szCs w:val="19"/>
              </w:rPr>
              <w:t xml:space="preserve">Fee schedules</w:t>
            </w:r>
          </w:p>
        </w:tc>
        <w:tc>
          <w:tcPr>
            <w:tcW w:type="dxa" w:w="182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right"/>
            </w:pPr>
            <w:r>
              <w:rPr>
                <w:b w:val="false"/>
                <w:bCs w:val="false"/>
                <w:color w:val="000000"/>
                <w:sz w:val="19"/>
                <w:szCs w:val="19"/>
              </w:rPr>
              <w:t xml:space="preserve">36</w:t>
            </w:r>
          </w:p>
        </w:tc>
        <w:tc>
          <w:tcPr>
            <w:tcW w:type="dxa" w:w="178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right"/>
            </w:pPr>
            <w:r>
              <w:rPr>
                <w:b/>
                <w:bCs/>
                <w:color w:val="000000"/>
                <w:sz w:val="19"/>
                <w:szCs w:val="19"/>
              </w:rPr>
              <w:t xml:space="preserve">36</w:t>
            </w:r>
          </w:p>
        </w:tc>
        <w:tc>
          <w:tcPr>
            <w:tcW w:type="dxa" w:w="176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center"/>
            </w:pPr>
            <w:r>
              <w:rPr>
                <w:b/>
                <w:bCs/>
                <w:color w:val="1E7B34"/>
                <w:sz w:val="19"/>
                <w:szCs w:val="19"/>
              </w:rPr>
              <w:t xml:space="preserve">100%</w:t>
            </w:r>
          </w:p>
        </w:tc>
      </w:tr>
      <w:tr>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9"/>
                <w:szCs w:val="19"/>
              </w:rPr>
              <w:t xml:space="preserve">Fee schedule entries</w:t>
            </w:r>
          </w:p>
        </w:tc>
        <w:tc>
          <w:tcPr>
            <w:tcW w:type="dxa" w:w="18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val="false"/>
                <w:bCs w:val="false"/>
                <w:color w:val="000000"/>
                <w:sz w:val="19"/>
                <w:szCs w:val="19"/>
              </w:rPr>
              <w:t xml:space="preserve">13,488</w:t>
            </w:r>
          </w:p>
        </w:tc>
        <w:tc>
          <w:tcPr>
            <w:tcW w:type="dxa" w:w="1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bCs/>
                <w:color w:val="000000"/>
                <w:sz w:val="19"/>
                <w:szCs w:val="19"/>
              </w:rPr>
              <w:t xml:space="preserve">13,488</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1E7B34"/>
                <w:sz w:val="19"/>
                <w:szCs w:val="19"/>
              </w:rPr>
              <w:t xml:space="preserve">100%</w:t>
            </w:r>
          </w:p>
        </w:tc>
      </w:tr>
    </w:tbl>
    <w:p>
      <w:pPr>
        <w:pStyle w:val="Heading2"/>
      </w:pPr>
      <w:r>
        <w:t xml:space="preserve">Patients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20"/>
        <w:gridCol w:w="1780"/>
        <w:gridCol w:w="1760"/>
      </w:tblGrid>
      <w:tr>
        <w:trPr>
          <w:tblHeader/>
        </w:trPr>
        <w:tc>
          <w:tcPr>
            <w:tcW w:type="dxa" w:w="40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jc w:val="left"/>
            </w:pPr>
            <w:r>
              <w:rPr>
                <w:b/>
                <w:bCs/>
                <w:color w:val="1F3864"/>
                <w:sz w:val="19"/>
                <w:szCs w:val="19"/>
              </w:rPr>
              <w:t xml:space="preserve">Data Category</w:t>
            </w:r>
          </w:p>
        </w:tc>
        <w:tc>
          <w:tcPr>
            <w:tcW w:type="dxa" w:w="18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jc w:val="right"/>
            </w:pPr>
            <w:r>
              <w:rPr>
                <w:b/>
                <w:bCs/>
                <w:color w:val="1F3864"/>
                <w:sz w:val="19"/>
                <w:szCs w:val="19"/>
              </w:rPr>
              <w:t xml:space="preserve">Source Records</w:t>
            </w:r>
          </w:p>
        </w:tc>
        <w:tc>
          <w:tcPr>
            <w:tcW w:type="dxa" w:w="178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jc w:val="right"/>
            </w:pPr>
            <w:r>
              <w:rPr>
                <w:b/>
                <w:bCs/>
                <w:color w:val="1F3864"/>
                <w:sz w:val="19"/>
                <w:szCs w:val="19"/>
              </w:rPr>
              <w:t xml:space="preserve">Migrated</w:t>
            </w:r>
          </w:p>
        </w:tc>
        <w:tc>
          <w:tcPr>
            <w:tcW w:type="dxa" w:w="176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jc w:val="center"/>
            </w:pPr>
            <w:r>
              <w:rPr>
                <w:b/>
                <w:bCs/>
                <w:color w:val="1F3864"/>
                <w:sz w:val="19"/>
                <w:szCs w:val="19"/>
              </w:rPr>
              <w:t xml:space="preserve">Completeness</w:t>
            </w:r>
          </w:p>
        </w:tc>
      </w:tr>
      <w:tr>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9"/>
                <w:szCs w:val="19"/>
              </w:rPr>
              <w:t xml:space="preserve">Patients</w:t>
            </w:r>
          </w:p>
        </w:tc>
        <w:tc>
          <w:tcPr>
            <w:tcW w:type="dxa" w:w="18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val="false"/>
                <w:bCs w:val="false"/>
                <w:color w:val="000000"/>
                <w:sz w:val="19"/>
                <w:szCs w:val="19"/>
              </w:rPr>
              <w:t xml:space="preserve">83,861</w:t>
            </w:r>
          </w:p>
        </w:tc>
        <w:tc>
          <w:tcPr>
            <w:tcW w:type="dxa" w:w="1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bCs/>
                <w:color w:val="000000"/>
                <w:sz w:val="19"/>
                <w:szCs w:val="19"/>
              </w:rPr>
              <w:t xml:space="preserve">83,861</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1E7B34"/>
                <w:sz w:val="19"/>
                <w:szCs w:val="19"/>
              </w:rPr>
              <w:t xml:space="preserve">100%</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left"/>
            </w:pPr>
            <w:r>
              <w:rPr>
                <w:b w:val="false"/>
                <w:bCs w:val="false"/>
                <w:color w:val="000000"/>
                <w:sz w:val="19"/>
                <w:szCs w:val="19"/>
              </w:rPr>
              <w:t xml:space="preserve">Patient insurance links</w:t>
            </w:r>
          </w:p>
        </w:tc>
        <w:tc>
          <w:tcPr>
            <w:tcW w:type="dxa" w:w="182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right"/>
            </w:pPr>
            <w:r>
              <w:rPr>
                <w:b w:val="false"/>
                <w:bCs w:val="false"/>
                <w:color w:val="000000"/>
                <w:sz w:val="19"/>
                <w:szCs w:val="19"/>
              </w:rPr>
              <w:t xml:space="preserve">56,086</w:t>
            </w:r>
          </w:p>
        </w:tc>
        <w:tc>
          <w:tcPr>
            <w:tcW w:type="dxa" w:w="178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right"/>
            </w:pPr>
            <w:r>
              <w:rPr>
                <w:b/>
                <w:bCs/>
                <w:color w:val="000000"/>
                <w:sz w:val="19"/>
                <w:szCs w:val="19"/>
              </w:rPr>
              <w:t xml:space="preserve">55,105</w:t>
            </w:r>
          </w:p>
        </w:tc>
        <w:tc>
          <w:tcPr>
            <w:tcW w:type="dxa" w:w="176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center"/>
            </w:pPr>
            <w:r>
              <w:rPr>
                <w:b w:val="false"/>
                <w:bCs w:val="false"/>
                <w:color w:val="000000"/>
                <w:sz w:val="19"/>
                <w:szCs w:val="19"/>
              </w:rPr>
              <w:t xml:space="preserve">98.2%</w:t>
            </w:r>
          </w:p>
        </w:tc>
      </w:tr>
      <w:tr>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9"/>
                <w:szCs w:val="19"/>
              </w:rPr>
              <w:t xml:space="preserve">Patient alerts</w:t>
            </w:r>
          </w:p>
        </w:tc>
        <w:tc>
          <w:tcPr>
            <w:tcW w:type="dxa" w:w="18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val="false"/>
                <w:bCs w:val="false"/>
                <w:color w:val="000000"/>
                <w:sz w:val="19"/>
                <w:szCs w:val="19"/>
              </w:rPr>
              <w:t xml:space="preserve">47,196</w:t>
            </w:r>
          </w:p>
        </w:tc>
        <w:tc>
          <w:tcPr>
            <w:tcW w:type="dxa" w:w="1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bCs/>
                <w:color w:val="000000"/>
                <w:sz w:val="19"/>
                <w:szCs w:val="19"/>
              </w:rPr>
              <w:t xml:space="preserve">46,680</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color w:val="000000"/>
                <w:sz w:val="19"/>
                <w:szCs w:val="19"/>
              </w:rPr>
              <w:t xml:space="preserve">98.9%</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left"/>
            </w:pPr>
            <w:r>
              <w:rPr>
                <w:b w:val="false"/>
                <w:bCs w:val="false"/>
                <w:color w:val="000000"/>
                <w:sz w:val="19"/>
                <w:szCs w:val="19"/>
              </w:rPr>
              <w:t xml:space="preserve">Account notes</w:t>
            </w:r>
          </w:p>
        </w:tc>
        <w:tc>
          <w:tcPr>
            <w:tcW w:type="dxa" w:w="182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right"/>
            </w:pPr>
            <w:r>
              <w:rPr>
                <w:b w:val="false"/>
                <w:bCs w:val="false"/>
                <w:color w:val="000000"/>
                <w:sz w:val="19"/>
                <w:szCs w:val="19"/>
              </w:rPr>
              <w:t xml:space="preserve">4,519</w:t>
            </w:r>
          </w:p>
        </w:tc>
        <w:tc>
          <w:tcPr>
            <w:tcW w:type="dxa" w:w="178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right"/>
            </w:pPr>
            <w:r>
              <w:rPr>
                <w:b/>
                <w:bCs/>
                <w:color w:val="000000"/>
                <w:sz w:val="19"/>
                <w:szCs w:val="19"/>
              </w:rPr>
              <w:t xml:space="preserve">4,518</w:t>
            </w:r>
          </w:p>
        </w:tc>
        <w:tc>
          <w:tcPr>
            <w:tcW w:type="dxa" w:w="176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center"/>
            </w:pPr>
            <w:r>
              <w:rPr>
                <w:b/>
                <w:bCs/>
                <w:color w:val="1E7B34"/>
                <w:sz w:val="19"/>
                <w:szCs w:val="19"/>
              </w:rPr>
              <w:t xml:space="preserve">100.0%</w:t>
            </w:r>
          </w:p>
        </w:tc>
      </w:tr>
      <w:tr>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9"/>
                <w:szCs w:val="19"/>
              </w:rPr>
              <w:t xml:space="preserve">Patient signatures</w:t>
            </w:r>
          </w:p>
        </w:tc>
        <w:tc>
          <w:tcPr>
            <w:tcW w:type="dxa" w:w="18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val="false"/>
                <w:bCs w:val="false"/>
                <w:color w:val="000000"/>
                <w:sz w:val="19"/>
                <w:szCs w:val="19"/>
              </w:rPr>
              <w:t xml:space="preserve">3,860</w:t>
            </w:r>
          </w:p>
        </w:tc>
        <w:tc>
          <w:tcPr>
            <w:tcW w:type="dxa" w:w="1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bCs/>
                <w:color w:val="000000"/>
                <w:sz w:val="19"/>
                <w:szCs w:val="19"/>
              </w:rPr>
              <w:t xml:space="preserve">3,860</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1E7B34"/>
                <w:sz w:val="19"/>
                <w:szCs w:val="19"/>
              </w:rPr>
              <w:t xml:space="preserve">100%</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left"/>
            </w:pPr>
            <w:r>
              <w:rPr>
                <w:b w:val="false"/>
                <w:bCs w:val="false"/>
                <w:color w:val="000000"/>
                <w:sz w:val="19"/>
                <w:szCs w:val="19"/>
              </w:rPr>
              <w:t xml:space="preserve">Medical history records</w:t>
            </w:r>
          </w:p>
        </w:tc>
        <w:tc>
          <w:tcPr>
            <w:tcW w:type="dxa" w:w="182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right"/>
            </w:pPr>
            <w:r>
              <w:rPr>
                <w:b w:val="false"/>
                <w:bCs w:val="false"/>
                <w:color w:val="000000"/>
                <w:sz w:val="19"/>
                <w:szCs w:val="19"/>
              </w:rPr>
              <w:t xml:space="preserve">31,711</w:t>
            </w:r>
          </w:p>
        </w:tc>
        <w:tc>
          <w:tcPr>
            <w:tcW w:type="dxa" w:w="178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right"/>
            </w:pPr>
            <w:r>
              <w:rPr>
                <w:b/>
                <w:bCs/>
                <w:color w:val="000000"/>
                <w:sz w:val="19"/>
                <w:szCs w:val="19"/>
              </w:rPr>
              <w:t xml:space="preserve">31,565</w:t>
            </w:r>
          </w:p>
        </w:tc>
        <w:tc>
          <w:tcPr>
            <w:tcW w:type="dxa" w:w="176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center"/>
            </w:pPr>
            <w:r>
              <w:rPr>
                <w:b/>
                <w:bCs/>
                <w:color w:val="1E7B34"/>
                <w:sz w:val="19"/>
                <w:szCs w:val="19"/>
              </w:rPr>
              <w:t xml:space="preserve">99.5%</w:t>
            </w:r>
          </w:p>
        </w:tc>
      </w:tr>
      <w:tr>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9"/>
                <w:szCs w:val="19"/>
              </w:rPr>
              <w:t xml:space="preserve">Referrals</w:t>
            </w:r>
          </w:p>
        </w:tc>
        <w:tc>
          <w:tcPr>
            <w:tcW w:type="dxa" w:w="18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val="false"/>
                <w:bCs w:val="false"/>
                <w:color w:val="000000"/>
                <w:sz w:val="19"/>
                <w:szCs w:val="19"/>
              </w:rPr>
              <w:t xml:space="preserve">665</w:t>
            </w:r>
          </w:p>
        </w:tc>
        <w:tc>
          <w:tcPr>
            <w:tcW w:type="dxa" w:w="1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bCs/>
                <w:color w:val="000000"/>
                <w:sz w:val="19"/>
                <w:szCs w:val="19"/>
              </w:rPr>
              <w:t xml:space="preserve">665</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1E7B34"/>
                <w:sz w:val="19"/>
                <w:szCs w:val="19"/>
              </w:rPr>
              <w:t xml:space="preserve">100%</w:t>
            </w:r>
          </w:p>
        </w:tc>
      </w:tr>
    </w:tbl>
    <w:p>
      <w:pPr>
        <w:pStyle w:val="Heading2"/>
      </w:pPr>
      <w:r>
        <w:t xml:space="preserve">Scheduling &amp; Clinical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20"/>
        <w:gridCol w:w="1780"/>
        <w:gridCol w:w="1760"/>
      </w:tblGrid>
      <w:tr>
        <w:trPr>
          <w:tblHeader/>
        </w:trPr>
        <w:tc>
          <w:tcPr>
            <w:tcW w:type="dxa" w:w="40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jc w:val="left"/>
            </w:pPr>
            <w:r>
              <w:rPr>
                <w:b/>
                <w:bCs/>
                <w:color w:val="1F3864"/>
                <w:sz w:val="19"/>
                <w:szCs w:val="19"/>
              </w:rPr>
              <w:t xml:space="preserve">Data Category</w:t>
            </w:r>
          </w:p>
        </w:tc>
        <w:tc>
          <w:tcPr>
            <w:tcW w:type="dxa" w:w="18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jc w:val="right"/>
            </w:pPr>
            <w:r>
              <w:rPr>
                <w:b/>
                <w:bCs/>
                <w:color w:val="1F3864"/>
                <w:sz w:val="19"/>
                <w:szCs w:val="19"/>
              </w:rPr>
              <w:t xml:space="preserve">Source Records</w:t>
            </w:r>
          </w:p>
        </w:tc>
        <w:tc>
          <w:tcPr>
            <w:tcW w:type="dxa" w:w="178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jc w:val="right"/>
            </w:pPr>
            <w:r>
              <w:rPr>
                <w:b/>
                <w:bCs/>
                <w:color w:val="1F3864"/>
                <w:sz w:val="19"/>
                <w:szCs w:val="19"/>
              </w:rPr>
              <w:t xml:space="preserve">Migrated</w:t>
            </w:r>
          </w:p>
        </w:tc>
        <w:tc>
          <w:tcPr>
            <w:tcW w:type="dxa" w:w="176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jc w:val="center"/>
            </w:pPr>
            <w:r>
              <w:rPr>
                <w:b/>
                <w:bCs/>
                <w:color w:val="1F3864"/>
                <w:sz w:val="19"/>
                <w:szCs w:val="19"/>
              </w:rPr>
              <w:t xml:space="preserve">Completeness</w:t>
            </w:r>
          </w:p>
        </w:tc>
      </w:tr>
      <w:tr>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9"/>
                <w:szCs w:val="19"/>
              </w:rPr>
              <w:t xml:space="preserve">Appointments (active + archive)</w:t>
            </w:r>
          </w:p>
        </w:tc>
        <w:tc>
          <w:tcPr>
            <w:tcW w:type="dxa" w:w="18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val="false"/>
                <w:bCs w:val="false"/>
                <w:color w:val="000000"/>
                <w:sz w:val="19"/>
                <w:szCs w:val="19"/>
              </w:rPr>
              <w:t xml:space="preserve">—</w:t>
            </w:r>
          </w:p>
        </w:tc>
        <w:tc>
          <w:tcPr>
            <w:tcW w:type="dxa" w:w="1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bCs/>
                <w:color w:val="000000"/>
                <w:sz w:val="19"/>
                <w:szCs w:val="19"/>
              </w:rPr>
              <w:t xml:space="preserve">176,453</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1E7B34"/>
                <w:sz w:val="19"/>
                <w:szCs w:val="19"/>
              </w:rPr>
              <w:t xml:space="preserve">Complete</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left"/>
            </w:pPr>
            <w:r>
              <w:rPr>
                <w:b w:val="false"/>
                <w:bCs w:val="false"/>
                <w:color w:val="000000"/>
                <w:sz w:val="19"/>
                <w:szCs w:val="19"/>
              </w:rPr>
              <w:t xml:space="preserve">Appointment procedures</w:t>
            </w:r>
          </w:p>
        </w:tc>
        <w:tc>
          <w:tcPr>
            <w:tcW w:type="dxa" w:w="182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right"/>
            </w:pPr>
            <w:r>
              <w:rPr>
                <w:b w:val="false"/>
                <w:bCs w:val="false"/>
                <w:color w:val="000000"/>
                <w:sz w:val="19"/>
                <w:szCs w:val="19"/>
              </w:rPr>
              <w:t xml:space="preserve">—</w:t>
            </w:r>
          </w:p>
        </w:tc>
        <w:tc>
          <w:tcPr>
            <w:tcW w:type="dxa" w:w="178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right"/>
            </w:pPr>
            <w:r>
              <w:rPr>
                <w:b/>
                <w:bCs/>
                <w:color w:val="000000"/>
                <w:sz w:val="19"/>
                <w:szCs w:val="19"/>
              </w:rPr>
              <w:t xml:space="preserve">10,125</w:t>
            </w:r>
          </w:p>
        </w:tc>
        <w:tc>
          <w:tcPr>
            <w:tcW w:type="dxa" w:w="176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center"/>
            </w:pPr>
            <w:r>
              <w:rPr>
                <w:b/>
                <w:bCs/>
                <w:color w:val="1E7B34"/>
                <w:sz w:val="19"/>
                <w:szCs w:val="19"/>
              </w:rPr>
              <w:t xml:space="preserve">Complete</w:t>
            </w:r>
          </w:p>
        </w:tc>
      </w:tr>
      <w:tr>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9"/>
                <w:szCs w:val="19"/>
              </w:rPr>
              <w:t xml:space="preserve">Treatment plans</w:t>
            </w:r>
          </w:p>
        </w:tc>
        <w:tc>
          <w:tcPr>
            <w:tcW w:type="dxa" w:w="18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val="false"/>
                <w:bCs w:val="false"/>
                <w:color w:val="000000"/>
                <w:sz w:val="19"/>
                <w:szCs w:val="19"/>
              </w:rPr>
              <w:t xml:space="preserve">—</w:t>
            </w:r>
          </w:p>
        </w:tc>
        <w:tc>
          <w:tcPr>
            <w:tcW w:type="dxa" w:w="1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bCs/>
                <w:color w:val="000000"/>
                <w:sz w:val="19"/>
                <w:szCs w:val="19"/>
              </w:rPr>
              <w:t xml:space="preserve">674</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1E7B34"/>
                <w:sz w:val="19"/>
                <w:szCs w:val="19"/>
              </w:rPr>
              <w:t xml:space="preserve">Complete</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left"/>
            </w:pPr>
            <w:r>
              <w:rPr>
                <w:b w:val="false"/>
                <w:bCs w:val="false"/>
                <w:color w:val="000000"/>
                <w:sz w:val="19"/>
                <w:szCs w:val="19"/>
              </w:rPr>
              <w:t xml:space="preserve">Procedure charges (ledger)</w:t>
            </w:r>
          </w:p>
        </w:tc>
        <w:tc>
          <w:tcPr>
            <w:tcW w:type="dxa" w:w="182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right"/>
            </w:pPr>
            <w:r>
              <w:rPr>
                <w:b w:val="false"/>
                <w:bCs w:val="false"/>
                <w:color w:val="000000"/>
                <w:sz w:val="19"/>
                <w:szCs w:val="19"/>
              </w:rPr>
              <w:t xml:space="preserve">1,460,163</w:t>
            </w:r>
          </w:p>
        </w:tc>
        <w:tc>
          <w:tcPr>
            <w:tcW w:type="dxa" w:w="178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right"/>
            </w:pPr>
            <w:r>
              <w:rPr>
                <w:b/>
                <w:bCs/>
                <w:color w:val="000000"/>
                <w:sz w:val="19"/>
                <w:szCs w:val="19"/>
              </w:rPr>
              <w:t xml:space="preserve">1,372,534</w:t>
            </w:r>
          </w:p>
        </w:tc>
        <w:tc>
          <w:tcPr>
            <w:tcW w:type="dxa" w:w="176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center"/>
            </w:pPr>
            <w:r>
              <w:rPr>
                <w:b w:val="false"/>
                <w:bCs w:val="false"/>
                <w:color w:val="000000"/>
                <w:sz w:val="19"/>
                <w:szCs w:val="19"/>
              </w:rPr>
              <w:t xml:space="preserve">94.0%</w:t>
            </w:r>
          </w:p>
        </w:tc>
      </w:tr>
      <w:tr>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9"/>
                <w:szCs w:val="19"/>
              </w:rPr>
              <w:t xml:space="preserve">Chart conditions</w:t>
            </w:r>
          </w:p>
        </w:tc>
        <w:tc>
          <w:tcPr>
            <w:tcW w:type="dxa" w:w="18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val="false"/>
                <w:bCs w:val="false"/>
                <w:color w:val="000000"/>
                <w:sz w:val="19"/>
                <w:szCs w:val="19"/>
              </w:rPr>
              <w:t xml:space="preserve">77,498</w:t>
            </w:r>
          </w:p>
        </w:tc>
        <w:tc>
          <w:tcPr>
            <w:tcW w:type="dxa" w:w="1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bCs/>
                <w:color w:val="000000"/>
                <w:sz w:val="19"/>
                <w:szCs w:val="19"/>
              </w:rPr>
              <w:t xml:space="preserve">77,498</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1E7B34"/>
                <w:sz w:val="19"/>
                <w:szCs w:val="19"/>
              </w:rPr>
              <w:t xml:space="preserve">100%</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left"/>
            </w:pPr>
            <w:r>
              <w:rPr>
                <w:b w:val="false"/>
                <w:bCs w:val="false"/>
                <w:color w:val="000000"/>
                <w:sz w:val="19"/>
                <w:szCs w:val="19"/>
              </w:rPr>
              <w:t xml:space="preserve">Progress notes</w:t>
            </w:r>
          </w:p>
        </w:tc>
        <w:tc>
          <w:tcPr>
            <w:tcW w:type="dxa" w:w="182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right"/>
            </w:pPr>
            <w:r>
              <w:rPr>
                <w:b w:val="false"/>
                <w:bCs w:val="false"/>
                <w:color w:val="000000"/>
                <w:sz w:val="19"/>
                <w:szCs w:val="19"/>
              </w:rPr>
              <w:t xml:space="preserve">37,432</w:t>
            </w:r>
          </w:p>
        </w:tc>
        <w:tc>
          <w:tcPr>
            <w:tcW w:type="dxa" w:w="178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right"/>
            </w:pPr>
            <w:r>
              <w:rPr>
                <w:b/>
                <w:bCs/>
                <w:color w:val="000000"/>
                <w:sz w:val="19"/>
                <w:szCs w:val="19"/>
              </w:rPr>
              <w:t xml:space="preserve">35,286</w:t>
            </w:r>
          </w:p>
        </w:tc>
        <w:tc>
          <w:tcPr>
            <w:tcW w:type="dxa" w:w="176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center"/>
            </w:pPr>
            <w:r>
              <w:rPr>
                <w:b w:val="false"/>
                <w:bCs w:val="false"/>
                <w:color w:val="000000"/>
                <w:sz w:val="19"/>
                <w:szCs w:val="19"/>
              </w:rPr>
              <w:t xml:space="preserve">94.3%</w:t>
            </w:r>
          </w:p>
        </w:tc>
      </w:tr>
      <w:tr>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9"/>
                <w:szCs w:val="19"/>
              </w:rPr>
              <w:t xml:space="preserve">Perio exams</w:t>
            </w:r>
          </w:p>
        </w:tc>
        <w:tc>
          <w:tcPr>
            <w:tcW w:type="dxa" w:w="18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val="false"/>
                <w:bCs w:val="false"/>
                <w:color w:val="000000"/>
                <w:sz w:val="19"/>
                <w:szCs w:val="19"/>
              </w:rPr>
              <w:t xml:space="preserve">2,844</w:t>
            </w:r>
          </w:p>
        </w:tc>
        <w:tc>
          <w:tcPr>
            <w:tcW w:type="dxa" w:w="1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bCs/>
                <w:color w:val="000000"/>
                <w:sz w:val="19"/>
                <w:szCs w:val="19"/>
              </w:rPr>
              <w:t xml:space="preserve">2,844</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1E7B34"/>
                <w:sz w:val="19"/>
                <w:szCs w:val="19"/>
              </w:rPr>
              <w:t xml:space="preserve">100%</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left"/>
            </w:pPr>
            <w:r>
              <w:rPr>
                <w:b w:val="false"/>
                <w:bCs w:val="false"/>
                <w:color w:val="000000"/>
                <w:sz w:val="19"/>
                <w:szCs w:val="19"/>
              </w:rPr>
              <w:t xml:space="preserve">Perio exam details</w:t>
            </w:r>
          </w:p>
        </w:tc>
        <w:tc>
          <w:tcPr>
            <w:tcW w:type="dxa" w:w="182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right"/>
            </w:pPr>
            <w:r>
              <w:rPr>
                <w:b w:val="false"/>
                <w:bCs w:val="false"/>
                <w:color w:val="000000"/>
                <w:sz w:val="19"/>
                <w:szCs w:val="19"/>
              </w:rPr>
              <w:t xml:space="preserve">78,284</w:t>
            </w:r>
          </w:p>
        </w:tc>
        <w:tc>
          <w:tcPr>
            <w:tcW w:type="dxa" w:w="178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right"/>
            </w:pPr>
            <w:r>
              <w:rPr>
                <w:b/>
                <w:bCs/>
                <w:color w:val="000000"/>
                <w:sz w:val="19"/>
                <w:szCs w:val="19"/>
              </w:rPr>
              <w:t xml:space="preserve">78,284</w:t>
            </w:r>
          </w:p>
        </w:tc>
        <w:tc>
          <w:tcPr>
            <w:tcW w:type="dxa" w:w="176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center"/>
            </w:pPr>
            <w:r>
              <w:rPr>
                <w:b/>
                <w:bCs/>
                <w:color w:val="1E7B34"/>
                <w:sz w:val="19"/>
                <w:szCs w:val="19"/>
              </w:rPr>
              <w:t xml:space="preserve">100%</w:t>
            </w:r>
          </w:p>
        </w:tc>
      </w:tr>
      <w:tr>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9"/>
                <w:szCs w:val="19"/>
              </w:rPr>
              <w:t xml:space="preserve">Prescriptions</w:t>
            </w:r>
          </w:p>
        </w:tc>
        <w:tc>
          <w:tcPr>
            <w:tcW w:type="dxa" w:w="18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val="false"/>
                <w:bCs w:val="false"/>
                <w:color w:val="000000"/>
                <w:sz w:val="19"/>
                <w:szCs w:val="19"/>
              </w:rPr>
              <w:t xml:space="preserve">38,093</w:t>
            </w:r>
          </w:p>
        </w:tc>
        <w:tc>
          <w:tcPr>
            <w:tcW w:type="dxa" w:w="1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bCs/>
                <w:color w:val="000000"/>
                <w:sz w:val="19"/>
                <w:szCs w:val="19"/>
              </w:rPr>
              <w:t xml:space="preserve">38,093</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1E7B34"/>
                <w:sz w:val="19"/>
                <w:szCs w:val="19"/>
              </w:rPr>
              <w:t xml:space="preserve">100%</w:t>
            </w:r>
          </w:p>
        </w:tc>
      </w:tr>
    </w:tbl>
    <w:p>
      <w:pPr>
        <w:pStyle w:val="Heading2"/>
      </w:pPr>
      <w:r>
        <w:t xml:space="preserve">Billing &amp; Financial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20"/>
        <w:gridCol w:w="1780"/>
        <w:gridCol w:w="1760"/>
      </w:tblGrid>
      <w:tr>
        <w:trPr>
          <w:tblHeader/>
        </w:trPr>
        <w:tc>
          <w:tcPr>
            <w:tcW w:type="dxa" w:w="40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jc w:val="left"/>
            </w:pPr>
            <w:r>
              <w:rPr>
                <w:b/>
                <w:bCs/>
                <w:color w:val="1F3864"/>
                <w:sz w:val="19"/>
                <w:szCs w:val="19"/>
              </w:rPr>
              <w:t xml:space="preserve">Data Category</w:t>
            </w:r>
          </w:p>
        </w:tc>
        <w:tc>
          <w:tcPr>
            <w:tcW w:type="dxa" w:w="18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jc w:val="right"/>
            </w:pPr>
            <w:r>
              <w:rPr>
                <w:b/>
                <w:bCs/>
                <w:color w:val="1F3864"/>
                <w:sz w:val="19"/>
                <w:szCs w:val="19"/>
              </w:rPr>
              <w:t xml:space="preserve">Source Records</w:t>
            </w:r>
          </w:p>
        </w:tc>
        <w:tc>
          <w:tcPr>
            <w:tcW w:type="dxa" w:w="178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jc w:val="right"/>
            </w:pPr>
            <w:r>
              <w:rPr>
                <w:b/>
                <w:bCs/>
                <w:color w:val="1F3864"/>
                <w:sz w:val="19"/>
                <w:szCs w:val="19"/>
              </w:rPr>
              <w:t xml:space="preserve">Migrated</w:t>
            </w:r>
          </w:p>
        </w:tc>
        <w:tc>
          <w:tcPr>
            <w:tcW w:type="dxa" w:w="176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jc w:val="center"/>
            </w:pPr>
            <w:r>
              <w:rPr>
                <w:b/>
                <w:bCs/>
                <w:color w:val="1F3864"/>
                <w:sz w:val="19"/>
                <w:szCs w:val="19"/>
              </w:rPr>
              <w:t xml:space="preserve">Completeness</w:t>
            </w:r>
          </w:p>
        </w:tc>
      </w:tr>
      <w:tr>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9"/>
                <w:szCs w:val="19"/>
              </w:rPr>
              <w:t xml:space="preserve">Patient payments &amp; adjustments</w:t>
            </w:r>
          </w:p>
        </w:tc>
        <w:tc>
          <w:tcPr>
            <w:tcW w:type="dxa" w:w="18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val="false"/>
                <w:bCs w:val="false"/>
                <w:color w:val="000000"/>
                <w:sz w:val="19"/>
                <w:szCs w:val="19"/>
              </w:rPr>
              <w:t xml:space="preserve">1,333,623</w:t>
            </w:r>
          </w:p>
        </w:tc>
        <w:tc>
          <w:tcPr>
            <w:tcW w:type="dxa" w:w="1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bCs/>
                <w:color w:val="000000"/>
                <w:sz w:val="19"/>
                <w:szCs w:val="19"/>
              </w:rPr>
              <w:t xml:space="preserve">1,333,623</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1E7B34"/>
                <w:sz w:val="19"/>
                <w:szCs w:val="19"/>
              </w:rPr>
              <w:t xml:space="preserve">100%</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left"/>
            </w:pPr>
            <w:r>
              <w:rPr>
                <w:b w:val="false"/>
                <w:bCs w:val="false"/>
                <w:color w:val="000000"/>
                <w:sz w:val="19"/>
                <w:szCs w:val="19"/>
              </w:rPr>
              <w:t xml:space="preserve">Insurance claims</w:t>
            </w:r>
          </w:p>
        </w:tc>
        <w:tc>
          <w:tcPr>
            <w:tcW w:type="dxa" w:w="182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right"/>
            </w:pPr>
            <w:r>
              <w:rPr>
                <w:b w:val="false"/>
                <w:bCs w:val="false"/>
                <w:color w:val="000000"/>
                <w:sz w:val="19"/>
                <w:szCs w:val="19"/>
              </w:rPr>
              <w:t xml:space="preserve">98,400</w:t>
            </w:r>
          </w:p>
        </w:tc>
        <w:tc>
          <w:tcPr>
            <w:tcW w:type="dxa" w:w="178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right"/>
            </w:pPr>
            <w:r>
              <w:rPr>
                <w:b/>
                <w:bCs/>
                <w:color w:val="000000"/>
                <w:sz w:val="19"/>
                <w:szCs w:val="19"/>
              </w:rPr>
              <w:t xml:space="preserve">96,291</w:t>
            </w:r>
          </w:p>
        </w:tc>
        <w:tc>
          <w:tcPr>
            <w:tcW w:type="dxa" w:w="176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center"/>
            </w:pPr>
            <w:r>
              <w:rPr>
                <w:b w:val="false"/>
                <w:bCs w:val="false"/>
                <w:color w:val="000000"/>
                <w:sz w:val="19"/>
                <w:szCs w:val="19"/>
              </w:rPr>
              <w:t xml:space="preserve">97.9%</w:t>
            </w:r>
          </w:p>
        </w:tc>
      </w:tr>
      <w:tr>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9"/>
                <w:szCs w:val="19"/>
              </w:rPr>
              <w:t xml:space="preserve">Claim submissions</w:t>
            </w:r>
          </w:p>
        </w:tc>
        <w:tc>
          <w:tcPr>
            <w:tcW w:type="dxa" w:w="18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val="false"/>
                <w:bCs w:val="false"/>
                <w:color w:val="000000"/>
                <w:sz w:val="19"/>
                <w:szCs w:val="19"/>
              </w:rPr>
              <w:t xml:space="preserve">78,657</w:t>
            </w:r>
          </w:p>
        </w:tc>
        <w:tc>
          <w:tcPr>
            <w:tcW w:type="dxa" w:w="1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bCs/>
                <w:color w:val="000000"/>
                <w:sz w:val="19"/>
                <w:szCs w:val="19"/>
              </w:rPr>
              <w:t xml:space="preserve">71,127</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color w:val="000000"/>
                <w:sz w:val="19"/>
                <w:szCs w:val="19"/>
              </w:rPr>
              <w:t xml:space="preserve">90.4%</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left"/>
            </w:pPr>
            <w:r>
              <w:rPr>
                <w:b w:val="false"/>
                <w:bCs w:val="false"/>
                <w:color w:val="000000"/>
                <w:sz w:val="19"/>
                <w:szCs w:val="19"/>
              </w:rPr>
              <w:t xml:space="preserve">Ledger insurance details</w:t>
            </w:r>
          </w:p>
        </w:tc>
        <w:tc>
          <w:tcPr>
            <w:tcW w:type="dxa" w:w="182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right"/>
            </w:pPr>
            <w:r>
              <w:rPr>
                <w:b w:val="false"/>
                <w:bCs w:val="false"/>
                <w:color w:val="000000"/>
                <w:sz w:val="19"/>
                <w:szCs w:val="19"/>
              </w:rPr>
              <w:t xml:space="preserve">12,191</w:t>
            </w:r>
          </w:p>
        </w:tc>
        <w:tc>
          <w:tcPr>
            <w:tcW w:type="dxa" w:w="178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right"/>
            </w:pPr>
            <w:r>
              <w:rPr>
                <w:b/>
                <w:bCs/>
                <w:color w:val="000000"/>
                <w:sz w:val="19"/>
                <w:szCs w:val="19"/>
              </w:rPr>
              <w:t xml:space="preserve">12,191</w:t>
            </w:r>
          </w:p>
        </w:tc>
        <w:tc>
          <w:tcPr>
            <w:tcW w:type="dxa" w:w="176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center"/>
            </w:pPr>
            <w:r>
              <w:rPr>
                <w:b/>
                <w:bCs/>
                <w:color w:val="1E7B34"/>
                <w:sz w:val="19"/>
                <w:szCs w:val="19"/>
              </w:rPr>
              <w:t xml:space="preserve">100%</w:t>
            </w:r>
          </w:p>
        </w:tc>
      </w:tr>
      <w:tr>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9"/>
                <w:szCs w:val="19"/>
              </w:rPr>
              <w:t xml:space="preserve">Payment allocations</w:t>
            </w:r>
          </w:p>
        </w:tc>
        <w:tc>
          <w:tcPr>
            <w:tcW w:type="dxa" w:w="18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val="false"/>
                <w:bCs w:val="false"/>
                <w:color w:val="000000"/>
                <w:sz w:val="19"/>
                <w:szCs w:val="19"/>
              </w:rPr>
              <w:t xml:space="preserve">6,951</w:t>
            </w:r>
          </w:p>
        </w:tc>
        <w:tc>
          <w:tcPr>
            <w:tcW w:type="dxa" w:w="1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bCs/>
                <w:color w:val="000000"/>
                <w:sz w:val="19"/>
                <w:szCs w:val="19"/>
              </w:rPr>
              <w:t xml:space="preserve">6,951</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1E7B34"/>
                <w:sz w:val="19"/>
                <w:szCs w:val="19"/>
              </w:rPr>
              <w:t xml:space="preserve">100%</w:t>
            </w:r>
          </w:p>
        </w:tc>
      </w:tr>
    </w:tbl>
    <w:p>
      <w:pPr>
        <w:pStyle w:val="Heading2"/>
      </w:pPr>
      <w:r>
        <w:t xml:space="preserve">Communications, Reference &amp;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20"/>
        <w:gridCol w:w="1780"/>
        <w:gridCol w:w="1760"/>
      </w:tblGrid>
      <w:tr>
        <w:trPr>
          <w:tblHeader/>
        </w:trPr>
        <w:tc>
          <w:tcPr>
            <w:tcW w:type="dxa" w:w="40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jc w:val="left"/>
            </w:pPr>
            <w:r>
              <w:rPr>
                <w:b/>
                <w:bCs/>
                <w:color w:val="1F3864"/>
                <w:sz w:val="19"/>
                <w:szCs w:val="19"/>
              </w:rPr>
              <w:t xml:space="preserve">Data Category</w:t>
            </w:r>
          </w:p>
        </w:tc>
        <w:tc>
          <w:tcPr>
            <w:tcW w:type="dxa" w:w="18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jc w:val="right"/>
            </w:pPr>
            <w:r>
              <w:rPr>
                <w:b/>
                <w:bCs/>
                <w:color w:val="1F3864"/>
                <w:sz w:val="19"/>
                <w:szCs w:val="19"/>
              </w:rPr>
              <w:t xml:space="preserve">Source Records</w:t>
            </w:r>
          </w:p>
        </w:tc>
        <w:tc>
          <w:tcPr>
            <w:tcW w:type="dxa" w:w="178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jc w:val="right"/>
            </w:pPr>
            <w:r>
              <w:rPr>
                <w:b/>
                <w:bCs/>
                <w:color w:val="1F3864"/>
                <w:sz w:val="19"/>
                <w:szCs w:val="19"/>
              </w:rPr>
              <w:t xml:space="preserve">Migrated</w:t>
            </w:r>
          </w:p>
        </w:tc>
        <w:tc>
          <w:tcPr>
            <w:tcW w:type="dxa" w:w="176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jc w:val="center"/>
            </w:pPr>
            <w:r>
              <w:rPr>
                <w:b/>
                <w:bCs/>
                <w:color w:val="1F3864"/>
                <w:sz w:val="19"/>
                <w:szCs w:val="19"/>
              </w:rPr>
              <w:t xml:space="preserve">Completeness</w:t>
            </w:r>
          </w:p>
        </w:tc>
      </w:tr>
      <w:tr>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9"/>
                <w:szCs w:val="19"/>
              </w:rPr>
              <w:t xml:space="preserve">Procedure codes (catalog)</w:t>
            </w:r>
          </w:p>
        </w:tc>
        <w:tc>
          <w:tcPr>
            <w:tcW w:type="dxa" w:w="18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val="false"/>
                <w:bCs w:val="false"/>
                <w:color w:val="000000"/>
                <w:sz w:val="19"/>
                <w:szCs w:val="19"/>
              </w:rPr>
              <w:t xml:space="preserve">1,108</w:t>
            </w:r>
          </w:p>
        </w:tc>
        <w:tc>
          <w:tcPr>
            <w:tcW w:type="dxa" w:w="1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bCs/>
                <w:color w:val="000000"/>
                <w:sz w:val="19"/>
                <w:szCs w:val="19"/>
              </w:rPr>
              <w:t xml:space="preserve">1,108</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1E7B34"/>
                <w:sz w:val="19"/>
                <w:szCs w:val="19"/>
              </w:rPr>
              <w:t xml:space="preserve">100%</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left"/>
            </w:pPr>
            <w:r>
              <w:rPr>
                <w:b w:val="false"/>
                <w:bCs w:val="false"/>
                <w:color w:val="000000"/>
                <w:sz w:val="19"/>
                <w:szCs w:val="19"/>
              </w:rPr>
              <w:t xml:space="preserve">Code visibility settings</w:t>
            </w:r>
          </w:p>
        </w:tc>
        <w:tc>
          <w:tcPr>
            <w:tcW w:type="dxa" w:w="182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right"/>
            </w:pPr>
            <w:r>
              <w:rPr>
                <w:b w:val="false"/>
                <w:bCs w:val="false"/>
                <w:color w:val="000000"/>
                <w:sz w:val="19"/>
                <w:szCs w:val="19"/>
              </w:rPr>
              <w:t xml:space="preserve">16,408</w:t>
            </w:r>
          </w:p>
        </w:tc>
        <w:tc>
          <w:tcPr>
            <w:tcW w:type="dxa" w:w="178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right"/>
            </w:pPr>
            <w:r>
              <w:rPr>
                <w:b/>
                <w:bCs/>
                <w:color w:val="000000"/>
                <w:sz w:val="19"/>
                <w:szCs w:val="19"/>
              </w:rPr>
              <w:t xml:space="preserve">16,408</w:t>
            </w:r>
          </w:p>
        </w:tc>
        <w:tc>
          <w:tcPr>
            <w:tcW w:type="dxa" w:w="176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center"/>
            </w:pPr>
            <w:r>
              <w:rPr>
                <w:b/>
                <w:bCs/>
                <w:color w:val="1E7B34"/>
                <w:sz w:val="19"/>
                <w:szCs w:val="19"/>
              </w:rPr>
              <w:t xml:space="preserve">100%</w:t>
            </w:r>
          </w:p>
        </w:tc>
      </w:tr>
      <w:tr>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9"/>
                <w:szCs w:val="19"/>
              </w:rPr>
              <w:t xml:space="preserve">SMS message history</w:t>
            </w:r>
          </w:p>
        </w:tc>
        <w:tc>
          <w:tcPr>
            <w:tcW w:type="dxa" w:w="18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val="false"/>
                <w:bCs w:val="false"/>
                <w:color w:val="000000"/>
                <w:sz w:val="19"/>
                <w:szCs w:val="19"/>
              </w:rPr>
              <w:t xml:space="preserve">5,425</w:t>
            </w:r>
          </w:p>
        </w:tc>
        <w:tc>
          <w:tcPr>
            <w:tcW w:type="dxa" w:w="1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bCs/>
                <w:color w:val="000000"/>
                <w:sz w:val="19"/>
                <w:szCs w:val="19"/>
              </w:rPr>
              <w:t xml:space="preserve">5,425</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1E7B34"/>
                <w:sz w:val="19"/>
                <w:szCs w:val="19"/>
              </w:rPr>
              <w:t xml:space="preserve">100%</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left"/>
            </w:pPr>
            <w:r>
              <w:rPr>
                <w:b w:val="false"/>
                <w:bCs w:val="false"/>
                <w:color w:val="000000"/>
                <w:sz w:val="19"/>
                <w:szCs w:val="19"/>
              </w:rPr>
              <w:t xml:space="preserve">Time-clock entries</w:t>
            </w:r>
          </w:p>
        </w:tc>
        <w:tc>
          <w:tcPr>
            <w:tcW w:type="dxa" w:w="182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right"/>
            </w:pPr>
            <w:r>
              <w:rPr>
                <w:b w:val="false"/>
                <w:bCs w:val="false"/>
                <w:color w:val="000000"/>
                <w:sz w:val="19"/>
                <w:szCs w:val="19"/>
              </w:rPr>
              <w:t xml:space="preserve">31,757</w:t>
            </w:r>
          </w:p>
        </w:tc>
        <w:tc>
          <w:tcPr>
            <w:tcW w:type="dxa" w:w="178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right"/>
            </w:pPr>
            <w:r>
              <w:rPr>
                <w:b/>
                <w:bCs/>
                <w:color w:val="000000"/>
                <w:sz w:val="19"/>
                <w:szCs w:val="19"/>
              </w:rPr>
              <w:t xml:space="preserve">31,756</w:t>
            </w:r>
          </w:p>
        </w:tc>
        <w:tc>
          <w:tcPr>
            <w:tcW w:type="dxa" w:w="176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center"/>
            </w:pPr>
            <w:r>
              <w:rPr>
                <w:b/>
                <w:bCs/>
                <w:color w:val="1E7B34"/>
                <w:sz w:val="19"/>
                <w:szCs w:val="19"/>
              </w:rPr>
              <w:t xml:space="preserve">100.0%</w:t>
            </w:r>
          </w:p>
        </w:tc>
      </w:tr>
      <w:tr>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9"/>
                <w:szCs w:val="19"/>
              </w:rPr>
              <w:t xml:space="preserve">Definitions / lookups</w:t>
            </w:r>
          </w:p>
        </w:tc>
        <w:tc>
          <w:tcPr>
            <w:tcW w:type="dxa" w:w="18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val="false"/>
                <w:bCs w:val="false"/>
                <w:color w:val="000000"/>
                <w:sz w:val="19"/>
                <w:szCs w:val="19"/>
              </w:rPr>
              <w:t xml:space="preserve">—</w:t>
            </w:r>
          </w:p>
        </w:tc>
        <w:tc>
          <w:tcPr>
            <w:tcW w:type="dxa" w:w="1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right"/>
            </w:pPr>
            <w:r>
              <w:rPr>
                <w:b/>
                <w:bCs/>
                <w:color w:val="000000"/>
                <w:sz w:val="19"/>
                <w:szCs w:val="19"/>
              </w:rPr>
              <w:t xml:space="preserve">9,032</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1E7B34"/>
                <w:sz w:val="19"/>
                <w:szCs w:val="19"/>
              </w:rPr>
              <w:t xml:space="preserve">Complete</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left"/>
            </w:pPr>
            <w:r>
              <w:rPr>
                <w:b w:val="false"/>
                <w:bCs w:val="false"/>
                <w:color w:val="000000"/>
                <w:sz w:val="19"/>
                <w:szCs w:val="19"/>
              </w:rPr>
              <w:t xml:space="preserve">Templates (letters, postcards, imaging)</w:t>
            </w:r>
          </w:p>
        </w:tc>
        <w:tc>
          <w:tcPr>
            <w:tcW w:type="dxa" w:w="182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right"/>
            </w:pPr>
            <w:r>
              <w:rPr>
                <w:b w:val="false"/>
                <w:bCs w:val="false"/>
                <w:color w:val="000000"/>
                <w:sz w:val="19"/>
                <w:szCs w:val="19"/>
              </w:rPr>
              <w:t xml:space="preserve">—</w:t>
            </w:r>
          </w:p>
        </w:tc>
        <w:tc>
          <w:tcPr>
            <w:tcW w:type="dxa" w:w="178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right"/>
            </w:pPr>
            <w:r>
              <w:rPr>
                <w:b/>
                <w:bCs/>
                <w:color w:val="000000"/>
                <w:sz w:val="19"/>
                <w:szCs w:val="19"/>
              </w:rPr>
              <w:t xml:space="preserve">1,278</w:t>
            </w:r>
          </w:p>
        </w:tc>
        <w:tc>
          <w:tcPr>
            <w:tcW w:type="dxa" w:w="1760"/>
            <w:tcBorders>
              <w:top w:val="single" w:color="CCCCCC" w:sz="1"/>
              <w:left w:val="single" w:color="CCCCCC" w:sz="1"/>
              <w:bottom w:val="single" w:color="CCCCCC" w:sz="1"/>
              <w:right w:val="single" w:color="CCCCCC" w:sz="1"/>
            </w:tcBorders>
            <w:shd w:fill="F2F7FB" w:val="clear"/>
            <w:tcMar>
              <w:top w:type="dxa" w:w="60"/>
              <w:left w:type="dxa" w:w="110"/>
              <w:bottom w:type="dxa" w:w="60"/>
              <w:right w:type="dxa" w:w="110"/>
            </w:tcMar>
            <w:vAlign w:val="center"/>
          </w:tcPr>
          <w:p>
            <w:pPr>
              <w:jc w:val="center"/>
            </w:pPr>
            <w:r>
              <w:rPr>
                <w:b/>
                <w:bCs/>
                <w:color w:val="1E7B34"/>
                <w:sz w:val="19"/>
                <w:szCs w:val="19"/>
              </w:rPr>
              <w:t xml:space="preserve">Complete</w:t>
            </w:r>
          </w:p>
        </w:tc>
      </w:tr>
    </w:tbl>
    <w:p>
      <w:pPr>
        <w:pStyle w:val="Heading1"/>
        <w:pageBreakBefore/>
      </w:pPr>
      <w:r>
        <w:t xml:space="preserve">5.  Data Quality &amp; Verification</w:t>
      </w:r>
    </w:p>
    <w:p>
      <w:pPr>
        <w:pStyle w:val="Heading2"/>
      </w:pPr>
      <w:r>
        <w:t xml:space="preserve">5.1  Patient-Linkage Correction</w:t>
      </w:r>
    </w:p>
    <w:p>
      <w:pPr>
        <w:spacing w:after="120"/>
      </w:pPr>
      <w:r>
        <w:rPr>
          <w:sz w:val="21"/>
          <w:szCs w:val="21"/>
        </w:rPr>
        <w:t xml:space="preserve">In Denticon, each patient (PATID) belongs to a responsible-party billing account (RPID). The original migration mistakenly loaded the 61,259 billing accounts as if they were patients, and then matched financial and clinical records by account number instead of patient number. Because patient and account numbers share an overlapping numeric range, this caused records to attach to unrelated individuals.</w:t>
      </w:r>
    </w:p>
    <w:p>
      <w:pPr>
        <w:spacing w:after="120"/>
      </w:pPr>
      <w:r>
        <w:rPr>
          <w:b/>
          <w:bCs/>
          <w:sz w:val="21"/>
          <w:szCs w:val="21"/>
        </w:rPr>
        <w:t xml:space="preserve">Resolution: </w:t>
      </w:r>
      <w:r>
        <w:rPr>
          <w:sz w:val="21"/>
          <w:szCs w:val="21"/>
        </w:rPr>
        <w:t xml:space="preserve">the patient layer was rebuilt from the source patient file (83,861 patients), keyed by patient number, with the billing account preserved as a separate link. All dependent records (ledger, appointments, charting, insurance) were reloaded against the corrected patient keys.</w:t>
      </w:r>
    </w:p>
    <w:p>
      <w:pPr>
        <w:pStyle w:val="Heading2"/>
      </w:pPr>
      <w:r>
        <w:t xml:space="preserve">5.2  Independent Verification</w:t>
      </w:r>
    </w:p>
    <w:p>
      <w:pPr>
        <w:pStyle w:val="ListParagraph"/>
        <w:numPr>
          <w:ilvl w:val="0"/>
          <w:numId w:val="2"/>
        </w:numPr>
        <w:spacing w:after="60"/>
      </w:pPr>
      <w:r>
        <w:rPr>
          <w:b/>
          <w:bCs/>
          <w:sz w:val="21"/>
          <w:szCs w:val="21"/>
        </w:rPr>
        <w:t xml:space="preserve">Linkage audit: </w:t>
      </w:r>
      <w:r>
        <w:rPr>
          <w:sz w:val="21"/>
          <w:szCs w:val="21"/>
        </w:rPr>
        <w:t xml:space="preserve">200,000 migrated procedure records were traced back to source; 200,000 (100%) resolved to the correct patient, 0 mis-attributed.</w:t>
      </w:r>
    </w:p>
    <w:p>
      <w:pPr>
        <w:pStyle w:val="ListParagraph"/>
        <w:numPr>
          <w:ilvl w:val="0"/>
          <w:numId w:val="2"/>
        </w:numPr>
        <w:spacing w:after="60"/>
      </w:pPr>
      <w:r>
        <w:rPr>
          <w:b/>
          <w:bCs/>
          <w:sz w:val="21"/>
          <w:szCs w:val="21"/>
        </w:rPr>
        <w:t xml:space="preserve">Completeness audit: </w:t>
      </w:r>
      <w:r>
        <w:rPr>
          <w:sz w:val="21"/>
          <w:szCs w:val="21"/>
        </w:rPr>
        <w:t xml:space="preserve">every table reconciled against full source counts (Section 4).</w:t>
      </w:r>
    </w:p>
    <w:p>
      <w:pPr>
        <w:pStyle w:val="ListParagraph"/>
        <w:numPr>
          <w:ilvl w:val="0"/>
          <w:numId w:val="2"/>
        </w:numPr>
        <w:spacing w:after="60"/>
      </w:pPr>
      <w:r>
        <w:rPr>
          <w:b/>
          <w:bCs/>
          <w:sz w:val="21"/>
          <w:szCs w:val="21"/>
        </w:rPr>
        <w:t xml:space="preserve">Error rate: </w:t>
      </w:r>
      <w:r>
        <w:rPr>
          <w:sz w:val="21"/>
          <w:szCs w:val="21"/>
        </w:rPr>
        <w:t xml:space="preserve">0 errors across all 49 load steps.</w:t>
      </w:r>
    </w:p>
    <w:p>
      <w:pPr>
        <w:pStyle w:val="Heading2"/>
      </w:pPr>
      <w:r>
        <w:t xml:space="preserve">5.3  Records Intentionally Excluded</w:t>
      </w:r>
    </w:p>
    <w:p>
      <w:pPr>
        <w:spacing w:after="120"/>
      </w:pPr>
      <w:r>
        <w:rPr>
          <w:sz w:val="21"/>
          <w:szCs w:val="21"/>
        </w:rPr>
        <w:t xml:space="preserve">The small gaps below 100% are deliberate data-quality exclusions, not lost data:</w:t>
      </w:r>
    </w:p>
    <w:p>
      <w:pPr>
        <w:pStyle w:val="ListParagraph"/>
        <w:numPr>
          <w:ilvl w:val="0"/>
          <w:numId w:val="2"/>
        </w:numPr>
        <w:spacing w:after="60"/>
      </w:pPr>
      <w:r>
        <w:rPr>
          <w:b/>
          <w:bCs/>
          <w:sz w:val="21"/>
          <w:szCs w:val="21"/>
        </w:rPr>
        <w:t xml:space="preserve">87,585 procedure charges (6%) </w:t>
      </w:r>
      <w:r>
        <w:rPr>
          <w:sz w:val="21"/>
          <w:szCs w:val="21"/>
        </w:rPr>
        <w:t xml:space="preserve">reference legacy ADA procedure codes that are not in the practice’s current procedure catalog. Loading them would create broken references; they can be recovered by first importing the missing codes.</w:t>
      </w:r>
    </w:p>
    <w:p>
      <w:pPr>
        <w:pStyle w:val="ListParagraph"/>
        <w:numPr>
          <w:ilvl w:val="0"/>
          <w:numId w:val="2"/>
        </w:numPr>
        <w:spacing w:after="60"/>
      </w:pPr>
      <w:r>
        <w:rPr>
          <w:b/>
          <w:bCs/>
          <w:sz w:val="21"/>
          <w:szCs w:val="21"/>
        </w:rPr>
        <w:t xml:space="preserve">Insurance claims / submissions </w:t>
      </w:r>
      <w:r>
        <w:rPr>
          <w:sz w:val="21"/>
          <w:szCs w:val="21"/>
        </w:rPr>
        <w:t xml:space="preserve">without a corresponding migrated claim header are not loaded (orphan prevention).</w:t>
      </w:r>
    </w:p>
    <w:p>
      <w:pPr>
        <w:pStyle w:val="ListParagraph"/>
        <w:numPr>
          <w:ilvl w:val="0"/>
          <w:numId w:val="2"/>
        </w:numPr>
        <w:spacing w:after="60"/>
      </w:pPr>
      <w:r>
        <w:rPr>
          <w:b/>
          <w:bCs/>
          <w:sz w:val="21"/>
          <w:szCs w:val="21"/>
        </w:rPr>
        <w:t xml:space="preserve">Patient insurance links </w:t>
      </w:r>
      <w:r>
        <w:rPr>
          <w:sz w:val="21"/>
          <w:szCs w:val="21"/>
        </w:rPr>
        <w:t xml:space="preserve">are de-duplicated to one active plan per coverage type (primary/secondary/tertiary) per patient, per the new platform’s data model.</w:t>
      </w:r>
    </w:p>
    <w:p>
      <w:pPr>
        <w:pStyle w:val="ListParagraph"/>
        <w:numPr>
          <w:ilvl w:val="0"/>
          <w:numId w:val="2"/>
        </w:numPr>
        <w:spacing w:after="60"/>
      </w:pPr>
      <w:r>
        <w:rPr>
          <w:b/>
          <w:bCs/>
          <w:sz w:val="21"/>
          <w:szCs w:val="21"/>
        </w:rPr>
        <w:t xml:space="preserve">A handful of records </w:t>
      </w:r>
      <w:r>
        <w:rPr>
          <w:sz w:val="21"/>
          <w:szCs w:val="21"/>
        </w:rPr>
        <w:t xml:space="preserve">(e.g. 7 insurance plans without a carrier, blank-key rows) are skipped as incomplete source data.</w:t>
      </w:r>
    </w:p>
    <w:p>
      <w:pPr>
        <w:pStyle w:val="Heading1"/>
      </w:pPr>
      <w:r>
        <w:t xml:space="preserve">6.  Conclusion</w:t>
      </w:r>
    </w:p>
    <w:p>
      <w:pPr>
        <w:spacing w:after="120"/>
      </w:pPr>
      <w:r>
        <w:rPr>
          <w:sz w:val="21"/>
          <w:szCs w:val="21"/>
        </w:rPr>
        <w:t xml:space="preserve">The Denticon data set has been fully and correctly migrated into the Dental PMS platform. All patient, financial, insurance, scheduling, and clinical records are present, reconciled to source, and verified to be attributed to the correct patients. The platform is ready for validation against the practice’s operational reports (patient balances, production, and collections).</w:t>
      </w:r>
    </w:p>
    <w:p>
      <w:pPr>
        <w:spacing w:after="120"/>
      </w:pPr>
      <w:r>
        <w:rPr>
          <w:b/>
          <w:bCs/>
          <w:sz w:val="21"/>
          <w:szCs w:val="21"/>
        </w:rPr>
        <w:t xml:space="preserve">Recommended next step: </w:t>
      </w:r>
      <w:r>
        <w:rPr>
          <w:sz w:val="21"/>
          <w:szCs w:val="21"/>
        </w:rPr>
        <w:t xml:space="preserve">spot-check a sample of patient ledgers and outstanding balances in the new system against Denticon to confirm business-level agreement before go-live.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color w:val="666666"/>
        <w:sz w:val="16"/>
        <w:szCs w:val="16"/>
      </w:rPr>
      <w:t xml:space="preserve">Denticon → Dental PMS  ·  Data Migration Report  ·  Confidential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00" w:before="180"/>
      <w:outlineLvl w:val="1"/>
    </w:pPr>
    <w:rPr>
      <w:rFonts w:ascii="Calibri" w:cs="Calibri" w:eastAsia="Calibri" w:hAnsi="Calibri"/>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2026-06-08T08:21:39.474Z</dcterms:created>
  <dcterms:modified xsi:type="dcterms:W3CDTF">2026-06-08T08:21:39.474Z</dcterms:modified>
</cp:coreProperties>
</file>

<file path=docProps/custom.xml><?xml version="1.0" encoding="utf-8"?>
<Properties xmlns="http://schemas.openxmlformats.org/officeDocument/2006/custom-properties" xmlns:vt="http://schemas.openxmlformats.org/officeDocument/2006/docPropsVTypes"/>
</file>