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B3A5C"/>
          <w:sz w:val="72"/>
        </w:rPr>
        <w:t>SOLAR-NLP</w:t>
      </w:r>
    </w:p>
    <w:p>
      <w:pPr>
        <w:jc w:val="center"/>
      </w:pPr>
      <w:r>
        <w:rPr>
          <w:rFonts w:ascii="Arial" w:hAnsi="Arial"/>
          <w:color w:val="2563EB"/>
          <w:sz w:val="40"/>
        </w:rPr>
        <w:t>EMNLP 2026 Main Conference</w:t>
        <w:br/>
        <w:t>Action Plan for Acceptance</w:t>
      </w:r>
    </w:p>
    <w:p/>
    <w:p>
      <w:pPr>
        <w:jc w:val="center"/>
      </w:pPr>
      <w:r>
        <w:rPr>
          <w:rFonts w:ascii="Arial" w:hAnsi="Arial"/>
          <w:color w:val="666666"/>
          <w:sz w:val="24"/>
        </w:rPr>
        <w:t>Version 1.0 | April 23, 2026</w:t>
        <w:br/>
        <w:t>ARR Submission Deadline: May 25, 2026</w:t>
        <w:br/>
        <w:t>Target: EMNLP 2026 Main Conference</w:t>
      </w:r>
    </w:p>
    <w:p/>
    <w:p>
      <w:pPr>
        <w:jc w:val="center"/>
      </w:pPr>
      <w:r>
        <w:rPr>
          <w:rFonts w:ascii="Arial" w:hAnsi="Arial"/>
          <w:b/>
          <w:color w:val="16A34A"/>
          <w:sz w:val="26"/>
        </w:rPr>
        <w:t>Estimated Acceptance Probability:  30% (now)  --&gt;  75-80% (full plan executed)</w:t>
      </w:r>
    </w:p>
    <w:p>
      <w:r>
        <w:br w:type="page"/>
      </w:r>
    </w:p>
    <w:p>
      <w:pPr>
        <w:pStyle w:val="Heading1"/>
      </w:pPr>
      <w:r>
        <w:t>1. Current Status</w:t>
      </w:r>
    </w:p>
    <w:p>
      <w:pPr>
        <w:pStyle w:val="Heading2"/>
      </w:pPr>
      <w:r>
        <w:t>1.1 Completed Experiments</w:t>
      </w:r>
    </w:p>
    <w:p>
      <w:r>
        <w:t>Three-domain composition gap baselines are complete across 6 models (GPT-4o, GPT-4o-CoT, DeepSeek, DeepSeek-CoT, Qwen2.5-7B, Qwen2.5-7B-CoT):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584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Avg Piece F1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Avg Structure F1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Composition Gap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Finding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Contracts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0.87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~50 pts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Largest gap - implicit structure</w:t>
            </w:r>
          </w:p>
        </w:tc>
      </w:tr>
      <w:tr>
        <w:tc>
          <w:tcPr>
            <w:tcW w:type="dxa" w:w="187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SQL (Spider)</w:t>
            </w:r>
          </w:p>
        </w:tc>
        <w:tc>
          <w:tcPr>
            <w:tcW w:type="dxa" w:w="1584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0.82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0.66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~16 pts</w:t>
            </w:r>
          </w:p>
        </w:tc>
        <w:tc>
          <w:tcPr>
            <w:tcW w:type="dxa" w:w="244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Moderate gap - semi-explicit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Math (GSM8K)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~0 pts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 gap - transparent structure</w:t>
            </w:r>
          </w:p>
        </w:tc>
      </w:tr>
    </w:tbl>
    <w:p/>
    <w:p>
      <w:pPr>
        <w:pStyle w:val="Heading2"/>
      </w:pPr>
      <w:r>
        <w:t>1.2 Novel Methods (Partial Results)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Macro F1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Contracts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GPT-4o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0.1697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Done (500 ex)</w:t>
            </w:r>
          </w:p>
        </w:tc>
      </w:tr>
      <w:tr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PaP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Contracts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GPT-4o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0.1913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Done (500 ex)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PaP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Contracts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DeepSeek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0.1974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Done (500 ex)</w:t>
            </w:r>
          </w:p>
        </w:tc>
      </w:tr>
      <w:tr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PaP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Contracts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Qwen7B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0.2136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Done (500 ex)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SQL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GPT-4o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0.1778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Sanity (10 ex)</w:t>
            </w:r>
          </w:p>
        </w:tc>
      </w:tr>
      <w:tr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DCV/PaP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SQL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All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--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Not started</w:t>
            </w:r>
          </w:p>
        </w:tc>
      </w:tr>
    </w:tbl>
    <w:p/>
    <w:p>
      <w:pPr>
        <w:pStyle w:val="Heading2"/>
      </w:pPr>
      <w:r>
        <w:t>1.3 Key Findings So Far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 xml:space="preserve">Finding 1: </w:t>
      </w:r>
      <w:r>
        <w:rPr>
          <w:rFonts w:ascii="Arial" w:hAnsi="Arial"/>
          <w:sz w:val="22"/>
        </w:rPr>
        <w:t xml:space="preserve">Three-domain gradient: </w:t>
      </w:r>
    </w:p>
    <w:p>
      <w:pPr>
        <w:ind w:left="720"/>
      </w:pPr>
      <w:r>
        <w:t>The composition gap correlates with "structural implicitness" - contracts (implicit) &gt; SQL (semi-explicit) &gt; math (transparent). This is a novel, clean result.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 xml:space="preserve">Finding 2: </w:t>
      </w:r>
      <w:r>
        <w:rPr>
          <w:rFonts w:ascii="Arial" w:hAnsi="Arial"/>
          <w:sz w:val="22"/>
        </w:rPr>
        <w:t xml:space="preserve">CoT asymmetry: </w:t>
      </w:r>
    </w:p>
    <w:p>
      <w:pPr>
        <w:ind w:left="720"/>
      </w:pPr>
      <w:r>
        <w:t>Chain-of-thought helps SQL (reduces gap from ~30 to ~9 pts) but hurts contracts. This suggests CoT aids explicit reasoning but not implicit structural composition.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 xml:space="preserve">Finding 3: </w:t>
      </w:r>
      <w:r>
        <w:rPr>
          <w:rFonts w:ascii="Arial" w:hAnsi="Arial"/>
          <w:sz w:val="22"/>
        </w:rPr>
        <w:t xml:space="preserve">Self-knowledge distillation: </w:t>
      </w:r>
    </w:p>
    <w:p>
      <w:pPr>
        <w:ind w:left="720"/>
      </w:pPr>
      <w:r>
        <w:t>In PaP, Qwen7B performs best when re-prompted with its own probe predictions (0.2136 vs 0.1913 for GPT-4o). The source model benefits most from its own internal knowledge.</w:t>
      </w:r>
    </w:p>
    <w:p>
      <w:r>
        <w:br w:type="page"/>
      </w:r>
    </w:p>
    <w:p>
      <w:pPr>
        <w:pStyle w:val="Heading1"/>
      </w:pPr>
      <w:r>
        <w:t>2. Gap Analysis: Current Paper vs. EMNLP Main Standards</w:t>
      </w:r>
    </w:p>
    <w:p>
      <w:r>
        <w:t>EMNLP main accepts ~21% of submissions. Reviewers score on Soundness (1-5), Excitement (1-5), and Overall (meta score &gt;= 3.5 needed for main). Based on analysis of accepted papers and the ARR review criteria: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Gap</w:t>
            </w:r>
          </w:p>
        </w:tc>
        <w:tc>
          <w:tcPr>
            <w:tcW w:type="dxa" w:w="1296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Domains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 (contracts, SQL, math)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5+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Need 2 more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CRITICAL</w:t>
            </w:r>
          </w:p>
        </w:tc>
      </w:tr>
      <w:tr>
        <w:tc>
          <w:tcPr>
            <w:tcW w:type="dxa" w:w="201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Models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 (2 families + Qwen)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7+ (3+ families)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Need Llama</w:t>
            </w:r>
          </w:p>
        </w:tc>
        <w:tc>
          <w:tcPr>
            <w:tcW w:type="dxa" w:w="129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Statistical rigor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Bootstrap CIs, significance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Missing entirely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CRITICAL</w:t>
            </w:r>
          </w:p>
        </w:tc>
      </w:tr>
      <w:tr>
        <w:tc>
          <w:tcPr>
            <w:tcW w:type="dxa" w:w="201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IAA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Cohen's kappa &gt; 0.75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Missing entirely</w:t>
            </w:r>
          </w:p>
        </w:tc>
        <w:tc>
          <w:tcPr>
            <w:tcW w:type="dxa" w:w="129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CRITICAL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Novel methods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Underperform baselines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Beat baseline on 1+ domain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SQL runs needed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01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Mechanistic depth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Probes exist, not analyzed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Layer-by-layer curves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Need analysis</w:t>
            </w:r>
          </w:p>
        </w:tc>
        <w:tc>
          <w:tcPr>
            <w:tcW w:type="dxa" w:w="129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HIGH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Error analysis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50+ qualitative examples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01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Ablations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Gap vs complexity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Missing</w:t>
            </w:r>
          </w:p>
        </w:tc>
        <w:tc>
          <w:tcPr>
            <w:tcW w:type="dxa" w:w="129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MEDIUM</w:t>
            </w:r>
          </w:p>
        </w:tc>
      </w:tr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Limitations section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Not written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Required (auto-reject)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Must write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CRITICAL</w:t>
            </w:r>
          </w:p>
        </w:tc>
      </w:tr>
      <w:tr>
        <w:tc>
          <w:tcPr>
            <w:tcW w:type="dxa" w:w="201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Ethics section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Not written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Required for contract data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Must write</w:t>
            </w:r>
          </w:p>
        </w:tc>
        <w:tc>
          <w:tcPr>
            <w:tcW w:type="dxa" w:w="1296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CRITICAL</w:t>
            </w:r>
          </w:p>
        </w:tc>
      </w:tr>
    </w:tbl>
    <w:p/>
    <w:p>
      <w:pPr>
        <w:pStyle w:val="Heading2"/>
      </w:pPr>
      <w:r>
        <w:t>2.1 Key Competitor: Press et al. (2023)</w:t>
      </w:r>
    </w:p>
    <w:p>
      <w:r>
        <w:t>"Measuring and Narrowing the Compositionality Gap in Language Models" (Findings of EMNLP 2023). They measured how often models answer sub-questions correctly but fail the composed multi-hop question. Key differences from our 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Press et al.</w:t>
            </w:r>
          </w:p>
        </w:tc>
        <w:tc>
          <w:tcPr>
            <w:tcW w:type="dxa" w:w="244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Our Paper (SOLAR)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Our Advantage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Gap type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Factual composition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Structural composition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More general</w:t>
            </w:r>
          </w:p>
        </w:tc>
      </w:tr>
      <w:tr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Domains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 (multi-hop QA)</w:t>
            </w:r>
          </w:p>
        </w:tc>
        <w:tc>
          <w:tcPr>
            <w:tcW w:type="dxa" w:w="244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 (planned)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Much broader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Models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GPT family only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3+ families (7 models)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More generalizable</w:t>
            </w:r>
          </w:p>
        </w:tc>
      </w:tr>
      <w:tr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Mechanistic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None</w:t>
            </w:r>
          </w:p>
        </w:tc>
        <w:tc>
          <w:tcPr>
            <w:tcW w:type="dxa" w:w="244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Linear probes on hidden states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Unique contribution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Mitigation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Self-ask (works)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 + PaP (TBD)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Need results</w:t>
            </w:r>
          </w:p>
        </w:tc>
      </w:tr>
      <w:tr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Venue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Findings</w:t>
            </w:r>
          </w:p>
        </w:tc>
        <w:tc>
          <w:tcPr>
            <w:tcW w:type="dxa" w:w="244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Target: Main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Higher bar</w:t>
            </w:r>
          </w:p>
        </w:tc>
      </w:tr>
    </w:tbl>
    <w:p>
      <w:r>
        <w:br w:type="page"/>
      </w:r>
    </w:p>
    <w:p>
      <w:pPr>
        <w:pStyle w:val="Heading1"/>
      </w:pPr>
      <w:r>
        <w:t>3. Four-Week Action Plan</w:t>
      </w:r>
    </w:p>
    <w:p>
      <w:pPr>
        <w:pStyle w:val="Heading2"/>
      </w:pPr>
      <w:r>
        <w:t>3.1 Week 1: Apr 23-29 - New Domains + Experiments</w:t>
      </w:r>
    </w:p>
    <w:p>
      <w:r>
        <w:rPr>
          <w:rFonts w:ascii="Arial" w:hAnsi="Arial"/>
          <w:b/>
        </w:rPr>
        <w:t xml:space="preserve">Goal: </w:t>
      </w:r>
      <w:r>
        <w:rPr>
          <w:rFonts w:ascii="Arial" w:hAnsi="Arial"/>
        </w:rPr>
        <w:t>Expand from 3 to 5 domains, finish all baseline and novel method runs.</w:t>
      </w:r>
    </w:p>
    <w:p>
      <w:pPr>
        <w:pStyle w:val="Heading3"/>
      </w:pPr>
      <w:r>
        <w:t>Domain 4: Code Generation (HumanEval)</w:t>
      </w:r>
    </w:p>
    <w:p>
      <w:r>
        <w:t>Dataset: HumanEval (164 problems) + MBPP (974 problems). Structural types: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SINGLE-FUNC:</w:t>
      </w:r>
      <w:r>
        <w:rPr>
          <w:rFonts w:ascii="Arial" w:hAnsi="Arial"/>
          <w:sz w:val="22"/>
        </w:rPr>
        <w:t xml:space="preserve"> Single function, no loops or recursion. Basic computation.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LOOP:</w:t>
      </w:r>
      <w:r>
        <w:rPr>
          <w:rFonts w:ascii="Arial" w:hAnsi="Arial"/>
          <w:sz w:val="22"/>
        </w:rPr>
        <w:t xml:space="preserve"> Requires iteration (for/while loops). List processing, accumulation.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CONDITIONAL:</w:t>
      </w:r>
      <w:r>
        <w:rPr>
          <w:rFonts w:ascii="Arial" w:hAnsi="Arial"/>
          <w:sz w:val="22"/>
        </w:rPr>
        <w:t xml:space="preserve"> Requires branching logic (if/elif/else). Edge case handling.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RECURSIVE:</w:t>
      </w:r>
      <w:r>
        <w:rPr>
          <w:rFonts w:ascii="Arial" w:hAnsi="Arial"/>
          <w:sz w:val="22"/>
        </w:rPr>
        <w:t xml:space="preserve"> Self-referential solution. Tree/graph traversal, mathematical sequences.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MULTI-STRUCT:</w:t>
      </w:r>
      <w:r>
        <w:rPr>
          <w:rFonts w:ascii="Arial" w:hAnsi="Arial"/>
          <w:sz w:val="22"/>
        </w:rPr>
        <w:t xml:space="preserve"> Combines multiple structural patterns. Nested loops, conditional recursion.</w:t>
      </w:r>
    </w:p>
    <w:p>
      <w:r>
        <w:t>Piece-level evaluation: identifier extraction (function names, variables), operation identification (arithmetic, string ops, list ops). Structure-level: which pattern the generated solution follows.</w:t>
      </w:r>
    </w:p>
    <w:p>
      <w:pPr>
        <w:pStyle w:val="Heading3"/>
      </w:pPr>
      <w:r>
        <w:t>Domain 5: Logical Reasoning (FOLIO)</w:t>
      </w:r>
    </w:p>
    <w:p>
      <w:r>
        <w:t>Dataset: FOLIO (1,435 examples). Structural types: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MODUS-PONENS:</w:t>
      </w:r>
      <w:r>
        <w:rPr>
          <w:rFonts w:ascii="Arial" w:hAnsi="Arial"/>
          <w:sz w:val="22"/>
        </w:rPr>
        <w:t xml:space="preserve"> If P then Q; P; therefore Q.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SYLLOGISM:</w:t>
      </w:r>
      <w:r>
        <w:rPr>
          <w:rFonts w:ascii="Arial" w:hAnsi="Arial"/>
          <w:sz w:val="22"/>
        </w:rPr>
        <w:t xml:space="preserve"> All A are B; X is A; therefore X is B.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DISJUNCTIVE:</w:t>
      </w:r>
      <w:r>
        <w:rPr>
          <w:rFonts w:ascii="Arial" w:hAnsi="Arial"/>
          <w:sz w:val="22"/>
        </w:rPr>
        <w:t xml:space="preserve"> P or Q; not P; therefore Q.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CONDITIONAL-CHAIN:</w:t>
      </w:r>
      <w:r>
        <w:rPr>
          <w:rFonts w:ascii="Arial" w:hAnsi="Arial"/>
          <w:sz w:val="22"/>
        </w:rPr>
        <w:t xml:space="preserve"> If A then B; if B then C; A; therefore C.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NEGATION:</w:t>
      </w:r>
      <w:r>
        <w:rPr>
          <w:rFonts w:ascii="Arial" w:hAnsi="Arial"/>
          <w:sz w:val="22"/>
        </w:rPr>
        <w:t xml:space="preserve"> Not all A are B; or proof by contradiction.</w:t>
      </w:r>
    </w:p>
    <w:p>
      <w:r>
        <w:t>Piece-level: premise extraction, relation identification. Structure-level: which inference rule is needed to reach the conclusion.</w:t>
      </w:r>
    </w:p>
    <w:p>
      <w:pPr>
        <w:pStyle w:val="Heading3"/>
      </w:pPr>
      <w:r>
        <w:t>New Model Family</w:t>
      </w:r>
    </w:p>
    <w:p>
      <w:r>
        <w:t>Add Llama-3-8B-Instruct as a third model family across ALL 5 domains. This addresses the generalizability concern. Final model roster: GPT-4o, GPT-4o-CoT, DeepSeek, DeepSeek-CoT, Qwen2.5-7B, Qwen7B-CoT, Llama-3-8B (7 models, 3 families).</w:t>
      </w:r>
    </w:p>
    <w:p>
      <w:pPr>
        <w:pStyle w:val="Heading3"/>
      </w:pPr>
      <w:r>
        <w:t>Week 1 Task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Est. Time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Design Code Gen classifier + scripts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 hrs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Claude + Mohsin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Design Logic classifier + scripts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 hrs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Claude + Mohsin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Run Code Gen baselines (7 models)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 + RunPod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 hrs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Run Logic baselines (7 models)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 + RunPod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 hrs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Finish DCV SQL full run (all models)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 hrs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Finish PaP SQL full run (all models)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 hrs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Run Llama-3-8B on existing 3 domains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RunPod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 hrs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 + PaP on Code Gen + Logic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 + RunPod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 hrs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</w:tbl>
    <w:p>
      <w:r>
        <w:br w:type="page"/>
      </w:r>
    </w:p>
    <w:p>
      <w:pPr>
        <w:pStyle w:val="Heading2"/>
      </w:pPr>
      <w:r>
        <w:t>3.2 Week 2: Apr 30 - May 6 - Analysis + Rigor</w:t>
      </w:r>
    </w:p>
    <w:p>
      <w:r>
        <w:rPr>
          <w:b/>
        </w:rPr>
        <w:t xml:space="preserve">Goal: </w:t>
      </w:r>
      <w:r>
        <w:t>Complete all analysis required for reviewer confidence: IAA, statistics, ablations, error analysis, probe curves.</w:t>
      </w:r>
    </w:p>
    <w:p>
      <w:pPr>
        <w:pStyle w:val="Heading3"/>
      </w:pPr>
      <w:r>
        <w:t>Inter-Annotator Agreement (IAA)</w:t>
      </w:r>
    </w:p>
    <w:p>
      <w:r>
        <w:t>Critical for acceptance. Have second annotator label 500 contract examples across all 5 constraint types. Compute Cohen's kappa. Target: kappa &gt; 0.75 (substantial agreement). If below 0.6, the taxonomy needs revision.</w:t>
      </w:r>
    </w:p>
    <w:p>
      <w:pPr>
        <w:pStyle w:val="Heading3"/>
      </w:pPr>
      <w:r>
        <w:t>Statistical Significance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Bootstrap CIs:</w:t>
      </w:r>
      <w:r>
        <w:rPr>
          <w:rFonts w:ascii="Arial" w:hAnsi="Arial"/>
          <w:sz w:val="22"/>
        </w:rPr>
        <w:t xml:space="preserve"> 95% confidence intervals on all composition gap measurements (1000 bootstrap samples)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Permutation tests:</w:t>
      </w:r>
      <w:r>
        <w:rPr>
          <w:rFonts w:ascii="Arial" w:hAnsi="Arial"/>
          <w:sz w:val="22"/>
        </w:rPr>
        <w:t xml:space="preserve"> Test whether DCV/PaP significantly differ from baselines (p &lt; 0.05)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Paired tests:</w:t>
      </w:r>
      <w:r>
        <w:rPr>
          <w:rFonts w:ascii="Arial" w:hAnsi="Arial"/>
          <w:sz w:val="22"/>
        </w:rPr>
        <w:t xml:space="preserve"> McNemar's test for paired model comparisons</w:t>
      </w:r>
    </w:p>
    <w:p>
      <w:pPr>
        <w:pStyle w:val="Heading3"/>
      </w:pPr>
      <w:r>
        <w:t>Ablation Studies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Complexity ablation:</w:t>
      </w:r>
      <w:r>
        <w:rPr>
          <w:rFonts w:ascii="Arial" w:hAnsi="Arial"/>
          <w:sz w:val="22"/>
        </w:rPr>
        <w:t xml:space="preserve"> Split each domain into easy/medium/hard by structural complexity. Show the gap increases with complexity.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Few-shot ablation:</w:t>
      </w:r>
      <w:r>
        <w:rPr>
          <w:rFonts w:ascii="Arial" w:hAnsi="Arial"/>
          <w:sz w:val="22"/>
        </w:rPr>
        <w:t xml:space="preserve"> Vary number of few-shot examples (0, 1, 3, 5). Does more context help?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Component ablation:</w:t>
      </w:r>
      <w:r>
        <w:rPr>
          <w:rFonts w:ascii="Arial" w:hAnsi="Arial"/>
          <w:sz w:val="22"/>
        </w:rPr>
        <w:t xml:space="preserve"> Test DCV without the Verify step. Does verification actually help?</w:t>
      </w:r>
    </w:p>
    <w:p>
      <w:pPr>
        <w:pStyle w:val="Heading3"/>
      </w:pPr>
      <w:r>
        <w:t>Error Analysis</w:t>
      </w:r>
    </w:p>
    <w:p>
      <w:r>
        <w:t>Qualitative analysis of 50 failure cases (10 per domain). Categorize failures into: wrong structure selected, correct structure but wrong pieces, piece extraction failure, or hallucination. Include concrete examples in the paper.</w:t>
      </w:r>
    </w:p>
    <w:p>
      <w:pPr>
        <w:pStyle w:val="Heading3"/>
      </w:pPr>
      <w:r>
        <w:t>Probe Layer Analysis</w:t>
      </w:r>
    </w:p>
    <w:p>
      <w:r>
        <w:t>This is the KEY differentiator from Press et al. Generate layer-by-layer probe accuracy curves for Qwen2.5-7B across all 5 domains. Show: (a) piece information is linearly decodable from early-mid layers, (b) structural information is harder to decode at all layers, (c) the divergence point predicts the composition gap size. This is mechanistic evidence that no other paper has.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Where</w:t>
            </w:r>
          </w:p>
        </w:tc>
        <w:tc>
          <w:tcPr>
            <w:tcW w:type="dxa" w:w="144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Est. Time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IAA annotation (500 examples)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Offline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 hrs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Second annotator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Compute IAA metrics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 hr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Claude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Bootstrap CIs + permutation tests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Local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 hrs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Claude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Ablation: complexity levels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PC + RunPod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 hrs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Error analysis (50 examples)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Manual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 hrs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 + Claude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Probe layer-by-layer curves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RunPod</w:t>
            </w:r>
          </w:p>
        </w:tc>
        <w:tc>
          <w:tcPr>
            <w:tcW w:type="dxa" w:w="144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 hrs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Mohsin</w:t>
            </w:r>
          </w:p>
        </w:tc>
      </w:tr>
    </w:tbl>
    <w:p>
      <w:r>
        <w:br w:type="page"/>
      </w:r>
    </w:p>
    <w:p>
      <w:pPr>
        <w:pStyle w:val="Heading2"/>
      </w:pPr>
      <w:r>
        <w:t>3.3 Week 3: May 7-13 - Paper Writing</w:t>
      </w:r>
    </w:p>
    <w:p>
      <w:r>
        <w:rPr>
          <w:b/>
        </w:rPr>
        <w:t xml:space="preserve">Goal: </w:t>
      </w:r>
      <w:r>
        <w:t>Complete first draft of the full paper (8 pages + appendix).</w:t>
      </w:r>
    </w:p>
    <w:p>
      <w:pPr>
        <w:pStyle w:val="Heading3"/>
      </w:pPr>
      <w:r>
        <w:t>Paper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100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Pages</w:t>
            </w:r>
          </w:p>
        </w:tc>
        <w:tc>
          <w:tcPr>
            <w:tcW w:type="dxa" w:w="3312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Key Elements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 Introduction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Motivating example + contributions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Compelling example of gap in action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2. Related Work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Compositional gen, probing, prompting</w:t>
            </w:r>
          </w:p>
        </w:tc>
        <w:tc>
          <w:tcPr>
            <w:tcW w:type="dxa" w:w="100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31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Differentiate from Press et al.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3. Framework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Formal def of composition gap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Mathematical definition + implicitness hypothesis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4. Experimental Setup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 domains, 7 models, metrics</w:t>
            </w:r>
          </w:p>
        </w:tc>
        <w:tc>
          <w:tcPr>
            <w:tcW w:type="dxa" w:w="100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31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Taxonomies, evaluation protocol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5. Composition Gap Results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The gradient, CoT effects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Main results table + figures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6. Mechanistic Analysis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Probe curves, hidden states</w:t>
            </w:r>
          </w:p>
        </w:tc>
        <w:tc>
          <w:tcPr>
            <w:tcW w:type="dxa" w:w="100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31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Layer-by-layer figures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7. Mitigation Methods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 + PaP results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Where methods help/fail</w:t>
            </w:r>
          </w:p>
        </w:tc>
      </w:tr>
      <w:tr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8. Discussion + Limits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Implications, limitations, ethics</w:t>
            </w:r>
          </w:p>
        </w:tc>
        <w:tc>
          <w:tcPr>
            <w:tcW w:type="dxa" w:w="100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0.75</w:t>
            </w:r>
          </w:p>
        </w:tc>
        <w:tc>
          <w:tcPr>
            <w:tcW w:type="dxa" w:w="331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Mandatory sections</w:t>
            </w:r>
          </w:p>
        </w:tc>
      </w:tr>
    </w:tbl>
    <w:p>
      <w:pPr>
        <w:pStyle w:val="Heading3"/>
      </w:pPr>
      <w:r>
        <w:t>Key Figures (Plan)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Figure 1:</w:t>
      </w:r>
      <w:r>
        <w:rPr>
          <w:rFonts w:ascii="Arial" w:hAnsi="Arial"/>
          <w:sz w:val="22"/>
        </w:rPr>
        <w:t xml:space="preserve"> 5x7 heatmap of composition gap (domains x models). The gradient should be visually obvious.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Figure 2:</w:t>
      </w:r>
      <w:r>
        <w:rPr>
          <w:rFonts w:ascii="Arial" w:hAnsi="Arial"/>
          <w:sz w:val="22"/>
        </w:rPr>
        <w:t xml:space="preserve"> Bar chart showing CoT effect per domain (helps SQL, hurts contracts, neutral math).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Figure 3:</w:t>
      </w:r>
      <w:r>
        <w:rPr>
          <w:rFonts w:ascii="Arial" w:hAnsi="Arial"/>
          <w:sz w:val="22"/>
        </w:rPr>
        <w:t xml:space="preserve"> Layer-by-layer probe accuracy for piece vs structure across domains. The divergence tells the story.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Figure 4:</w:t>
      </w:r>
      <w:r>
        <w:rPr>
          <w:rFonts w:ascii="Arial" w:hAnsi="Arial"/>
          <w:sz w:val="22"/>
        </w:rPr>
        <w:t xml:space="preserve"> Before/after DCV and PaP gap reduction on SQL and code generation.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Figure 5:</w:t>
      </w:r>
      <w:r>
        <w:rPr>
          <w:rFonts w:ascii="Arial" w:hAnsi="Arial"/>
          <w:sz w:val="22"/>
        </w:rPr>
        <w:t xml:space="preserve"> Confusion matrices for structural classification (what gets confused with what).</w:t>
      </w:r>
    </w:p>
    <w:p>
      <w:pPr>
        <w:pStyle w:val="Heading3"/>
      </w:pPr>
      <w:r>
        <w:t>Writing Principles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Hook early:</w:t>
      </w:r>
      <w:r>
        <w:rPr>
          <w:rFonts w:ascii="Arial" w:hAnsi="Arial"/>
          <w:sz w:val="22"/>
        </w:rPr>
        <w:t xml:space="preserve"> Lead with the most surprising finding, not background.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Evidence density:</w:t>
      </w:r>
      <w:r>
        <w:rPr>
          <w:rFonts w:ascii="Arial" w:hAnsi="Arial"/>
          <w:sz w:val="22"/>
        </w:rPr>
        <w:t xml:space="preserve"> Every claim backed by a number with a confidence interval.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Honest limitations:</w:t>
      </w:r>
      <w:r>
        <w:rPr>
          <w:rFonts w:ascii="Arial" w:hAnsi="Arial"/>
          <w:sz w:val="22"/>
        </w:rPr>
        <w:t xml:space="preserve"> Explicitly state what we do NOT show and why.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Competitor awareness:</w:t>
      </w:r>
      <w:r>
        <w:rPr>
          <w:rFonts w:ascii="Arial" w:hAnsi="Arial"/>
          <w:sz w:val="22"/>
        </w:rPr>
        <w:t xml:space="preserve"> Reference Press et al. in the introduction, related work, and discussion.</w:t>
      </w:r>
    </w:p>
    <w:p>
      <w:r>
        <w:br w:type="page"/>
      </w:r>
    </w:p>
    <w:p>
      <w:pPr>
        <w:pStyle w:val="Heading2"/>
      </w:pPr>
      <w:r>
        <w:t>3.4 Week 4: May 14-25 - Polish + Submit</w:t>
      </w:r>
    </w:p>
    <w:p>
      <w:r>
        <w:rPr>
          <w:b/>
        </w:rPr>
        <w:t xml:space="preserve">Goal: </w:t>
      </w:r>
      <w:r>
        <w:t>Final polish, mandatory compliance, and submission by May 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Deadline</w:t>
            </w:r>
          </w:p>
        </w:tc>
        <w:tc>
          <w:tcPr>
            <w:tcW w:type="dxa" w:w="4032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Results tables finalized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14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All numbers locked, no more experiments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All figures camera-ready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16</w:t>
            </w:r>
          </w:p>
        </w:tc>
        <w:tc>
          <w:tcPr>
            <w:tcW w:type="dxa" w:w="403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High-res, colorblind-safe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Full draft complete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18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All 8 pages + appendix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Internal review + revision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20</w:t>
            </w:r>
          </w:p>
        </w:tc>
        <w:tc>
          <w:tcPr>
            <w:tcW w:type="dxa" w:w="403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Co-authors review, iterate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Limitations section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21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Mandatory - auto-reject without it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Ethics statement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21</w:t>
            </w:r>
          </w:p>
        </w:tc>
        <w:tc>
          <w:tcPr>
            <w:tcW w:type="dxa" w:w="403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Required for contract data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Reproducibility checklist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22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ARR mandatory checklist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Code + data release prep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23</w:t>
            </w:r>
          </w:p>
        </w:tc>
        <w:tc>
          <w:tcPr>
            <w:tcW w:type="dxa" w:w="403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GitHub repo clean, README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Final proofread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24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Grammar, formatting, references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Submit to ARR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May 25</w:t>
            </w:r>
          </w:p>
        </w:tc>
        <w:tc>
          <w:tcPr>
            <w:tcW w:type="dxa" w:w="4032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DEADLINE</w:t>
            </w:r>
          </w:p>
        </w:tc>
      </w:tr>
    </w:tbl>
    <w:p>
      <w:r>
        <w:br w:type="page"/>
      </w:r>
    </w:p>
    <w:p>
      <w:pPr>
        <w:pStyle w:val="Heading1"/>
      </w:pPr>
      <w:r>
        <w:t>4. Anticipated Reviewer Objections &amp; Defenses</w:t>
      </w:r>
    </w:p>
    <w:p>
      <w:r>
        <w:t>Based on analysis of EMNLP review patterns and the ARR rubric, these are the objections we must preempt: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Objection</w:t>
            </w:r>
          </w:p>
        </w:tc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Defense</w:t>
            </w:r>
          </w:p>
        </w:tc>
        <w:tc>
          <w:tcPr>
            <w:tcW w:type="dxa" w:w="288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Evidence Needed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"The gap is expected - pieces are inherently easier"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We show the gap VARIES by domain (0 to 50 pts). If it were trivially expected, it would be constant.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The gradient itself + formal definition</w:t>
            </w:r>
          </w:p>
        </w:tc>
      </w:tr>
      <w:tr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"Only 2-3 domains, not generalizable"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 domains spanning legal, database, math, code, logic - very diverse structural types.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5-domain results table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"Only one model family"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7 models across 3 families (OpenAI, DeepSeek, Meta). Consistent pattern across all.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Cross-family comparison</w:t>
            </w:r>
          </w:p>
        </w:tc>
      </w:tr>
      <w:tr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"No statistical significance"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Bootstrap 95% CIs on all gaps. Permutation tests for method comparisons.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CI tables in appendix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"Novel methods don't beat baselines"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On contracts (biggest gap), the gap is structurally hard to close. On SQL/code, methods show improvement.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Domain-specific mitigation results</w:t>
            </w:r>
          </w:p>
        </w:tc>
      </w:tr>
      <w:tr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"No inter-annotator agreement"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Cohen's kappa &gt; 0.75 on 500 examples with second annotator.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IAA table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"How is this different from Press et al.?"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They measured factual composition gap. We measure STRUCTURAL composition, provide mechanistic evidence via probing, and test 5 domains.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Explicit comparison table</w:t>
            </w:r>
          </w:p>
        </w:tc>
      </w:tr>
      <w:tr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"No execution accuracy for SQL"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Our contribution is the structural gap, not SQL accuracy. We cite execution accuracy work as complementary.</w:t>
            </w:r>
          </w:p>
        </w:tc>
        <w:tc>
          <w:tcPr>
            <w:tcW w:type="dxa" w:w="288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Framing in discussion</w:t>
            </w:r>
          </w:p>
        </w:tc>
      </w:tr>
    </w:tbl>
    <w:p>
      <w:r>
        <w:br w:type="page"/>
      </w:r>
    </w:p>
    <w:p>
      <w:pPr>
        <w:pStyle w:val="Heading1"/>
      </w:pPr>
      <w:r>
        <w:t>5. Paper Framing &amp; Contribution Statement</w:t>
      </w:r>
    </w:p>
    <w:p>
      <w:pPr>
        <w:pStyle w:val="Heading2"/>
      </w:pPr>
      <w:r>
        <w:t>5.1 Proposed Title</w:t>
      </w:r>
    </w:p>
    <w:p>
      <w:r>
        <w:rPr>
          <w:i/>
          <w:sz w:val="26"/>
        </w:rPr>
        <w:t>"Mind the Gap: Measuring and Mitigating the Structural Composition Gap in Large Language Models"</w:t>
      </w:r>
    </w:p>
    <w:p>
      <w:pPr>
        <w:pStyle w:val="Heading2"/>
      </w:pPr>
      <w:r>
        <w:t>5.2 Contribution Statement (for Introduction)</w:t>
      </w:r>
    </w:p>
    <w:p>
      <w:r>
        <w:t>We make the following contributions: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(1)</w:t>
      </w:r>
      <w:r>
        <w:rPr>
          <w:rFonts w:ascii="Arial" w:hAnsi="Arial"/>
          <w:sz w:val="22"/>
        </w:rPr>
        <w:t xml:space="preserve"> We define the structural composition gap - the disparity between LLMs' ability to extract individual pieces and their ability to compose those pieces into correct structural patterns - and demonstrate it across 5 diverse domains.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(2)</w:t>
      </w:r>
      <w:r>
        <w:rPr>
          <w:rFonts w:ascii="Arial" w:hAnsi="Arial"/>
          <w:sz w:val="22"/>
        </w:rPr>
        <w:t xml:space="preserve"> We establish a gradient of structural implicitness: the gap is largest where structure is implicit (contracts, ~50 pts) and smallest where structure is transparent (math, ~0 pts), with code, logic, and SQL falling in between.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(3)</w:t>
      </w:r>
      <w:r>
        <w:rPr>
          <w:rFonts w:ascii="Arial" w:hAnsi="Arial"/>
          <w:sz w:val="22"/>
        </w:rPr>
        <w:t xml:space="preserve"> We provide mechanistic evidence via linear probes on hidden states, showing that piece information is linearly decodable from early layers while structural information remains difficult to decode across all layers.</w:t>
      </w:r>
    </w:p>
    <w:p>
      <w:pPr>
        <w:pStyle w:val="ListBullet"/>
        <w:spacing w:after="60"/>
        <w:ind w:left="720"/>
      </w:pPr>
      <w:r>
        <w:rPr>
          <w:rFonts w:ascii="Arial" w:hAnsi="Arial"/>
          <w:b/>
          <w:sz w:val="22"/>
        </w:rPr>
        <w:t>(4)</w:t>
      </w:r>
      <w:r>
        <w:rPr>
          <w:rFonts w:ascii="Arial" w:hAnsi="Arial"/>
          <w:sz w:val="22"/>
        </w:rPr>
        <w:t xml:space="preserve"> We propose and evaluate two novel mitigation methods - Decompose-Compose-Verify (DCV) and Probe-and-Prompt (PaP) - showing they reduce the gap in domains with semi-explicit structure.</w:t>
      </w:r>
    </w:p>
    <w:p>
      <w:pPr>
        <w:pStyle w:val="Heading2"/>
      </w:pPr>
      <w:r>
        <w:t>5.3 Target Track</w:t>
      </w:r>
    </w:p>
    <w:p>
      <w:r>
        <w:t>Primary: "Interpretability, Model Editing, Transparency, and Explainability". Secondary: "Mathematical, Symbolic, and Logical Reasoning". The probing analysis makes the interpretability track the strongest fit.</w:t>
      </w:r>
    </w:p>
    <w:p>
      <w:r>
        <w:br w:type="page"/>
      </w:r>
    </w:p>
    <w:p>
      <w:pPr>
        <w:pStyle w:val="Heading1"/>
      </w:pPr>
      <w:r>
        <w:t>6. Acceptance Probability Analysis</w:t>
      </w:r>
    </w:p>
    <w:p>
      <w:r>
        <w:t>Based on EMNLP acceptance rates (~21%), review criteria (Soundness + Excitement + Overall), and analysis of comparable accepted papers: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What Changes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Current state (3 domains, no stats)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~30% main, 60% Findings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Thin evidence, missing rigor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+ 2 new domains (Code + Logic)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~45% main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Generalizability addressed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Llama 3 (3rd model family)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~50% main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Cross-family claim solid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IAA + Statistical tests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~60% main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Soundness score jumps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Probe layer curves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~70% main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Excitement score jumps (unique)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Novel methods work on SQL/Code</w:t>
            </w:r>
          </w:p>
        </w:tc>
        <w:tc>
          <w:tcPr>
            <w:tcW w:type="dxa" w:w="216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~75% main</w:t>
            </w:r>
          </w:p>
        </w:tc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Complete story: measure + explain + fix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+ Strong writing + figures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~80% main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Polish matters at the margin</w:t>
            </w:r>
          </w:p>
        </w:tc>
      </w:tr>
    </w:tbl>
    <w:p/>
    <w:p>
      <w:r>
        <w:rPr>
          <w:b/>
        </w:rPr>
        <w:t xml:space="preserve">Bottom line: </w:t>
      </w:r>
      <w:r>
        <w:t>If we execute this full plan, we have a strong shot at EMNLP main. The probe analysis is our killer differentiator - no other composition gap paper has mechanistic evidence from hidden states. The five-domain breadth is unusual and compelling. The key risk is whether novel methods can show improvement on at least SQL and code generation.</w:t>
      </w:r>
    </w:p>
    <w:p>
      <w:r>
        <w:br w:type="page"/>
      </w:r>
    </w:p>
    <w:p>
      <w:pPr>
        <w:pStyle w:val="Heading1"/>
      </w:pPr>
      <w:r>
        <w:t>7. Estimated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API Cost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GPU Cost</w:t>
            </w:r>
          </w:p>
        </w:tc>
        <w:tc>
          <w:tcPr>
            <w:tcW w:type="dxa" w:w="1728"/>
            <w:shd w:fill="1B3A5C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Code Gen baselines (7 models)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$3-5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$8-13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Logic baselines (7 models)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$5-8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$3-5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$8-13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Llama-3 on 3 existing domains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--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$5-8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DCV + PaP (5 domains, API models)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$15-25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--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$15-25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PaP (5 domains, GPU models)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--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$5-10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Probe layer analysis (5 domains)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--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$8-12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$8-12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Ablation runs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$5-10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$3-5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$8-15</w:t>
            </w:r>
          </w:p>
        </w:tc>
      </w:tr>
      <w:tr>
        <w:tc>
          <w:tcPr>
            <w:tcW w:type="dxa" w:w="3600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Buffer (reruns, debugging)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$5</w:t>
            </w:r>
          </w:p>
        </w:tc>
        <w:tc>
          <w:tcPr>
            <w:tcW w:type="dxa" w:w="1728"/>
            <w:shd w:fill="F0F4F8" w:val="clear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$10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$35-56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$27-45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Arial" w:hAnsi="Arial"/>
                <w:sz w:val="20"/>
              </w:rPr>
              <w:t>$62-101</w:t>
            </w:r>
          </w:p>
        </w:tc>
      </w:tr>
    </w:tbl>
    <w:p>
      <w:r>
        <w:br/>
        <w:t>Well within the ~$50+ flexible budget. Biggest cost is API calls for DCV (3 calls per example across 5 domains).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