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20"/>
              <w:left w:type="dxa" w:w="400"/>
              <w:bottom w:type="dxa" w:w="320"/>
              <w:right w:type="dxa" w:w="400"/>
            </w:tcMar>
          </w:tcPr>
          <w:p>
            <w:pPr>
              <w:spacing w:before="0" w:after="100"/>
              <w:jc w:val="center"/>
            </w:pPr>
            <w:r>
              <w:rPr>
                <w:rFonts w:ascii="Arial" w:cs="Arial" w:eastAsia="Arial" w:hAnsi="Arial"/>
                <w:b/>
                <w:bCs/>
                <w:caps/>
                <w:color w:val="A8C8E8"/>
                <w:sz w:val="18"/>
                <w:szCs w:val="18"/>
              </w:rPr>
              <w:t xml:space="preserve">RESEARCH PROPOSAL</w:t>
            </w:r>
          </w:p>
          <w:p>
            <w:pPr>
              <w:spacing w:before="80" w:after="120"/>
              <w:jc w:val="center"/>
            </w:pPr>
            <w:r>
              <w:rPr>
                <w:rFonts w:ascii="Arial" w:cs="Arial" w:eastAsia="Arial" w:hAnsi="Arial"/>
                <w:b/>
                <w:bCs/>
                <w:color w:val="FFFFFF"/>
                <w:sz w:val="36"/>
                <w:szCs w:val="36"/>
              </w:rPr>
              <w:t xml:space="preserve">Constraint-Aware LLM Reasoning for Transit Operational Planning</w:t>
            </w:r>
          </w:p>
          <w:p>
            <w:pPr>
              <w:spacing w:before="0" w:after="0"/>
              <w:jc w:val="center"/>
            </w:pPr>
            <w:r>
              <w:rPr>
                <w:rFonts w:ascii="Arial" w:cs="Arial" w:eastAsia="Arial" w:hAnsi="Arial"/>
                <w:i/>
                <w:iCs/>
                <w:color w:val="A8C8E8"/>
                <w:sz w:val="22"/>
                <w:szCs w:val="22"/>
              </w:rPr>
              <w:t xml:space="preserve">A Neuro-Symbolic Pipeline with Execution-Guided Learning</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0"/>
                <w:szCs w:val="20"/>
              </w:rPr>
              <w:t xml:space="preserve">Target Venue</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E2E2E"/>
                <w:sz w:val="20"/>
                <w:szCs w:val="20"/>
              </w:rPr>
              <w:t xml:space="preserve">EMNLP 2025/2026 — Main Conference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0"/>
                <w:szCs w:val="20"/>
              </w:rPr>
              <w:t xml:space="preserve">Track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E2E2E"/>
                <w:sz w:val="20"/>
                <w:szCs w:val="20"/>
              </w:rPr>
              <w:t xml:space="preserve">NLP Applications / Structured Prediction / Reasoning</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0"/>
                <w:szCs w:val="20"/>
              </w:rPr>
              <w:t xml:space="preserve">Contribution Type</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E2E2E"/>
                <w:sz w:val="20"/>
                <w:szCs w:val="20"/>
              </w:rPr>
              <w:t xml:space="preserve">New Method + Empirical Evaluation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0"/>
                <w:szCs w:val="20"/>
              </w:rPr>
              <w:t xml:space="preserve">Key Intersection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E2E2E"/>
                <w:sz w:val="20"/>
                <w:szCs w:val="20"/>
              </w:rPr>
              <w:t xml:space="preserve">NLP × Combinatorial Optimization × Transit Operations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0"/>
                <w:szCs w:val="20"/>
              </w:rPr>
              <w:t xml:space="preserve">Proposed Length</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E2E2E"/>
                <w:sz w:val="20"/>
                <w:szCs w:val="20"/>
              </w:rPr>
              <w:t xml:space="preserve">Long paper (8 pages + references)</w:t>
            </w:r>
          </w:p>
        </w:tc>
      </w:tr>
    </w:tbl>
    <w:p>
      <w:pPr>
        <w:spacing w:before="24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1.  Motivation &amp; Problem Statement</w:t>
      </w:r>
    </w:p>
    <w:p>
      <w:pPr>
        <w:spacing w:before="80" w:after="80" w:line="320"/>
      </w:pPr>
      <w:r>
        <w:rPr>
          <w:rFonts w:ascii="Arial" w:cs="Arial" w:eastAsia="Arial" w:hAnsi="Arial"/>
          <w:color w:val="2E2E2E"/>
          <w:sz w:val="22"/>
          <w:szCs w:val="22"/>
        </w:rPr>
        <w:t xml:space="preserve">Transit agencies operate under a web of hard operational constraints — union contract rules, regulatory mandates, vehicle availability windows, and crew scheduling laws. These constraints are written in natural language across hundreds of documents (collective bargaining agreements, FTA regulatory filings, GTFS specs, internal policy manuals), yet they must ultimately be expressed as formal constraints in optimization solvers like Google OR-Tools CP-SAT to generate valid schedules and plans.</w:t>
      </w:r>
    </w:p>
    <w:p>
      <w:pPr>
        <w:spacing w:before="80" w:after="0"/>
      </w:pPr>
      <w:r>
        <w:t xml:space="preserve"/>
      </w:r>
    </w:p>
    <w:p>
      <w:pPr>
        <w:spacing w:before="80" w:after="80" w:line="320"/>
      </w:pPr>
      <w:r>
        <w:rPr>
          <w:rFonts w:ascii="Arial" w:cs="Arial" w:eastAsia="Arial" w:hAnsi="Arial"/>
          <w:color w:val="2E2E2E"/>
          <w:sz w:val="22"/>
          <w:szCs w:val="22"/>
        </w:rPr>
        <w:t xml:space="preserve">Today, this translation is done manually by domain experts. It is slow, error-prone, and creates a critical bottleneck. A seemingly small mistranslation — e.g., misreading 'no driver shall operate more than 6 consecutive hours without a 30-minute break' as a soft preference rather than a hard constraint — can produce legally invalid or unsafe schedules.</w:t>
      </w:r>
    </w:p>
    <w:p>
      <w:pPr>
        <w:spacing w:before="80" w:after="0"/>
      </w:pPr>
      <w:r>
        <w:t xml:space="preserve"/>
      </w:r>
    </w:p>
    <w:p>
      <w:pPr>
        <w:spacing w:before="80" w:after="80" w:line="320"/>
      </w:pPr>
      <w:r>
        <w:rPr>
          <w:rFonts w:ascii="Arial" w:cs="Arial" w:eastAsia="Arial" w:hAnsi="Arial"/>
          <w:color w:val="2E2E2E"/>
          <w:sz w:val="22"/>
          <w:szCs w:val="22"/>
        </w:rPr>
        <w:t xml:space="preserve">Large Language Models (LLMs) are impressive at natural language understanding, yet they are notoriously unreliable at respecting hard constraints. They hallucinate feasible-sounding but infeasible plans, conflate soft preferences with hard rules, and lack any feedback signal from the operational environment they are reasoning about. This gap is the central problem this paper addresses.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Core Problem</w:t>
            </w:r>
          </w:p>
        </w:tc>
        <w:tc>
          <w:tcPr>
            <w:tcW w:type="dxa" w:w="81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160"/>
            </w:tcMar>
          </w:tcPr>
          <w:p>
            <w:r>
              <w:rPr>
                <w:rFonts w:ascii="Arial" w:cs="Arial" w:eastAsia="Arial" w:hAnsi="Arial"/>
                <w:i/>
                <w:iCs/>
                <w:color w:val="2E2E2E"/>
                <w:sz w:val="21"/>
                <w:szCs w:val="21"/>
              </w:rPr>
              <w:t xml:space="preserve">How can we enable LLMs to reliably extract, represent, and generate formally correct operational constraints from natural language policy text — with verifiable correctness guarantees from a downstream solver?</w:t>
            </w:r>
          </w:p>
        </w:tc>
      </w:tr>
    </w:tbl>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2.  Proposed Method</w:t>
      </w:r>
    </w:p>
    <w:p>
      <w:pPr>
        <w:spacing w:before="80" w:after="80" w:line="320"/>
      </w:pPr>
      <w:r>
        <w:rPr>
          <w:rFonts w:ascii="Arial" w:cs="Arial" w:eastAsia="Arial" w:hAnsi="Arial"/>
          <w:color w:val="2E2E2E"/>
          <w:sz w:val="22"/>
          <w:szCs w:val="22"/>
        </w:rPr>
        <w:t xml:space="preserve">We propose SOLAR (Solver-in-the-Loop Constraint Acquisition and Refinement), a neuro-symbolic pipeline that closes the loop between LLM constraint generation and CP-SAT solver execution. The method has three integrated components:</w:t>
      </w:r>
    </w:p>
    <w:p>
      <w:pPr>
        <w:spacing w:before="120" w:after="0"/>
      </w:pPr>
      <w:r>
        <w:t xml:space="preserve"/>
      </w:r>
    </w:p>
    <w:p>
      <w:pPr>
        <w:pStyle w:val="Heading2"/>
        <w:spacing w:before="240" w:after="100"/>
      </w:pPr>
      <w:r>
        <w:rPr>
          <w:rFonts w:ascii="Arial" w:cs="Arial" w:eastAsia="Arial" w:hAnsi="Arial"/>
          <w:b/>
          <w:bCs/>
          <w:color w:val="2E75B6"/>
          <w:sz w:val="24"/>
          <w:szCs w:val="24"/>
        </w:rPr>
        <w:t xml:space="preserve">2.1  Structured Constraint Extraction</w:t>
      </w:r>
    </w:p>
    <w:p>
      <w:pPr>
        <w:spacing w:before="80" w:after="80" w:line="320"/>
      </w:pPr>
      <w:r>
        <w:rPr>
          <w:rFonts w:ascii="Arial" w:cs="Arial" w:eastAsia="Arial" w:hAnsi="Arial"/>
          <w:color w:val="2E2E2E"/>
          <w:sz w:val="22"/>
          <w:szCs w:val="22"/>
        </w:rPr>
        <w:t xml:space="preserve">Given a natural language policy document, a fine-tuned LLM parses text into a structured intermediate representation (IR) — a typed constraint schema capturing:</w:t>
      </w:r>
    </w:p>
    <w:p>
      <w:pPr>
        <w:pStyle w:val="ListParagraph"/>
        <w:numPr>
          <w:ilvl w:val="0"/>
          <w:numId w:val="2"/>
        </w:numPr>
        <w:spacing w:before="60" w:after="60" w:line="300"/>
      </w:pPr>
      <w:r>
        <w:rPr>
          <w:rFonts w:ascii="Arial" w:cs="Arial" w:eastAsia="Arial" w:hAnsi="Arial"/>
          <w:b/>
          <w:bCs/>
          <w:color w:val="2E2E2E"/>
          <w:sz w:val="22"/>
          <w:szCs w:val="22"/>
        </w:rPr>
        <w:t xml:space="preserve">Type: </w:t>
      </w:r>
      <w:r>
        <w:rPr>
          <w:rFonts w:ascii="Arial" w:cs="Arial" w:eastAsia="Arial" w:hAnsi="Arial"/>
          <w:color w:val="2E2E2E"/>
          <w:sz w:val="22"/>
          <w:szCs w:val="22"/>
        </w:rPr>
        <w:t xml:space="preserve">Constraint type</w:t>
      </w:r>
    </w:p>
    <w:p>
      <w:pPr>
        <w:pStyle w:val="ListParagraph"/>
        <w:numPr>
          <w:ilvl w:val="0"/>
          <w:numId w:val="3"/>
        </w:numPr>
        <w:spacing w:before="40" w:after="40" w:line="280"/>
      </w:pPr>
      <w:r>
        <w:rPr>
          <w:rFonts w:ascii="Arial" w:cs="Arial" w:eastAsia="Arial" w:hAnsi="Arial"/>
          <w:color w:val="595959"/>
          <w:sz w:val="20"/>
          <w:szCs w:val="20"/>
        </w:rPr>
        <w:t xml:space="preserve">hard (must not be violated) vs. soft (penalized if violated)</w:t>
      </w:r>
    </w:p>
    <w:p>
      <w:pPr>
        <w:pStyle w:val="ListParagraph"/>
        <w:numPr>
          <w:ilvl w:val="0"/>
          <w:numId w:val="2"/>
        </w:numPr>
        <w:spacing w:before="60" w:after="60" w:line="300"/>
      </w:pPr>
      <w:r>
        <w:rPr>
          <w:rFonts w:ascii="Arial" w:cs="Arial" w:eastAsia="Arial" w:hAnsi="Arial"/>
          <w:b/>
          <w:bCs/>
          <w:color w:val="2E2E2E"/>
          <w:sz w:val="22"/>
          <w:szCs w:val="22"/>
        </w:rPr>
        <w:t xml:space="preserve">Entities: </w:t>
      </w:r>
      <w:r>
        <w:rPr>
          <w:rFonts w:ascii="Arial" w:cs="Arial" w:eastAsia="Arial" w:hAnsi="Arial"/>
          <w:color w:val="2E2E2E"/>
          <w:sz w:val="22"/>
          <w:szCs w:val="22"/>
        </w:rPr>
        <w:t xml:space="preserve">Entities involved</w:t>
      </w:r>
    </w:p>
    <w:p>
      <w:pPr>
        <w:pStyle w:val="ListParagraph"/>
        <w:numPr>
          <w:ilvl w:val="0"/>
          <w:numId w:val="3"/>
        </w:numPr>
        <w:spacing w:before="40" w:after="40" w:line="280"/>
      </w:pPr>
      <w:r>
        <w:rPr>
          <w:rFonts w:ascii="Arial" w:cs="Arial" w:eastAsia="Arial" w:hAnsi="Arial"/>
          <w:color w:val="595959"/>
          <w:sz w:val="20"/>
          <w:szCs w:val="20"/>
        </w:rPr>
        <w:t xml:space="preserve">e.g., driver, vehicle, route, time window</w:t>
      </w:r>
    </w:p>
    <w:p>
      <w:pPr>
        <w:pStyle w:val="ListParagraph"/>
        <w:numPr>
          <w:ilvl w:val="0"/>
          <w:numId w:val="2"/>
        </w:numPr>
        <w:spacing w:before="60" w:after="60" w:line="300"/>
      </w:pPr>
      <w:r>
        <w:rPr>
          <w:rFonts w:ascii="Arial" w:cs="Arial" w:eastAsia="Arial" w:hAnsi="Arial"/>
          <w:b/>
          <w:bCs/>
          <w:color w:val="2E2E2E"/>
          <w:sz w:val="22"/>
          <w:szCs w:val="22"/>
        </w:rPr>
        <w:t xml:space="preserve">Thresholds: </w:t>
      </w:r>
      <w:r>
        <w:rPr>
          <w:rFonts w:ascii="Arial" w:cs="Arial" w:eastAsia="Arial" w:hAnsi="Arial"/>
          <w:color w:val="2E2E2E"/>
          <w:sz w:val="22"/>
          <w:szCs w:val="22"/>
        </w:rPr>
        <w:t xml:space="preserve">Quantitative thresholds</w:t>
      </w:r>
    </w:p>
    <w:p>
      <w:pPr>
        <w:pStyle w:val="ListParagraph"/>
        <w:numPr>
          <w:ilvl w:val="0"/>
          <w:numId w:val="3"/>
        </w:numPr>
        <w:spacing w:before="40" w:after="40" w:line="280"/>
      </w:pPr>
      <w:r>
        <w:rPr>
          <w:rFonts w:ascii="Arial" w:cs="Arial" w:eastAsia="Arial" w:hAnsi="Arial"/>
          <w:color w:val="595959"/>
          <w:sz w:val="20"/>
          <w:szCs w:val="20"/>
        </w:rPr>
        <w:t xml:space="preserve">e.g., max_consecutive_hours = 6, min_break_minutes = 30</w:t>
      </w:r>
    </w:p>
    <w:p>
      <w:pPr>
        <w:pStyle w:val="ListParagraph"/>
        <w:numPr>
          <w:ilvl w:val="0"/>
          <w:numId w:val="2"/>
        </w:numPr>
        <w:spacing w:before="60" w:after="60" w:line="300"/>
      </w:pPr>
      <w:r>
        <w:rPr>
          <w:rFonts w:ascii="Arial" w:cs="Arial" w:eastAsia="Arial" w:hAnsi="Arial"/>
          <w:b/>
          <w:bCs/>
          <w:color w:val="2E2E2E"/>
          <w:sz w:val="22"/>
          <w:szCs w:val="22"/>
        </w:rPr>
        <w:t xml:space="preserve">Logic: </w:t>
      </w:r>
      <w:r>
        <w:rPr>
          <w:rFonts w:ascii="Arial" w:cs="Arial" w:eastAsia="Arial" w:hAnsi="Arial"/>
          <w:color w:val="2E2E2E"/>
          <w:sz w:val="22"/>
          <w:szCs w:val="22"/>
        </w:rPr>
        <w:t xml:space="preserve">Logical structure</w:t>
      </w:r>
    </w:p>
    <w:p>
      <w:pPr>
        <w:pStyle w:val="ListParagraph"/>
        <w:numPr>
          <w:ilvl w:val="0"/>
          <w:numId w:val="3"/>
        </w:numPr>
        <w:spacing w:before="40" w:after="40" w:line="280"/>
      </w:pPr>
      <w:r>
        <w:rPr>
          <w:rFonts w:ascii="Arial" w:cs="Arial" w:eastAsia="Arial" w:hAnsi="Arial"/>
          <w:color w:val="595959"/>
          <w:sz w:val="20"/>
          <w:szCs w:val="20"/>
        </w:rPr>
        <w:t xml:space="preserve">universal / existential quantifiers, conditionals, exceptions</w:t>
      </w:r>
    </w:p>
    <w:p>
      <w:pPr>
        <w:spacing w:before="120" w:after="0"/>
      </w:pPr>
      <w:r>
        <w:t xml:space="preserve"/>
      </w:r>
    </w:p>
    <w:p>
      <w:pPr>
        <w:pStyle w:val="Heading2"/>
        <w:spacing w:before="240" w:after="100"/>
      </w:pPr>
      <w:r>
        <w:rPr>
          <w:rFonts w:ascii="Arial" w:cs="Arial" w:eastAsia="Arial" w:hAnsi="Arial"/>
          <w:b/>
          <w:bCs/>
          <w:color w:val="2E75B6"/>
          <w:sz w:val="24"/>
          <w:szCs w:val="24"/>
        </w:rPr>
        <w:t xml:space="preserve">2.2  Solver-Executable Code Generation</w:t>
      </w:r>
    </w:p>
    <w:p>
      <w:pPr>
        <w:spacing w:before="80" w:after="80" w:line="320"/>
      </w:pPr>
      <w:r>
        <w:rPr>
          <w:rFonts w:ascii="Arial" w:cs="Arial" w:eastAsia="Arial" w:hAnsi="Arial"/>
          <w:color w:val="2E2E2E"/>
          <w:sz w:val="22"/>
          <w:szCs w:val="22"/>
        </w:rPr>
        <w:t xml:space="preserve">The IR is passed to a second module that translates it into executable CP-SAT constraint code. This code is then executed against a minimal synthetic scheduling instance. The solver returns one of three signals:</w:t>
      </w:r>
    </w:p>
    <w:p>
      <w:pPr>
        <w:pStyle w:val="ListParagraph"/>
        <w:numPr>
          <w:ilvl w:val="0"/>
          <w:numId w:val="2"/>
        </w:numPr>
        <w:spacing w:before="60" w:after="60" w:line="300"/>
      </w:pPr>
      <w:r>
        <w:rPr>
          <w:rFonts w:ascii="Arial" w:cs="Arial" w:eastAsia="Arial" w:hAnsi="Arial"/>
          <w:color w:val="2E2E2E"/>
          <w:sz w:val="22"/>
          <w:szCs w:val="22"/>
        </w:rPr>
        <w:t xml:space="preserve">FEASIBLE — constraint accepted, no conflicts</w:t>
      </w:r>
    </w:p>
    <w:p>
      <w:pPr>
        <w:pStyle w:val="ListParagraph"/>
        <w:numPr>
          <w:ilvl w:val="0"/>
          <w:numId w:val="2"/>
        </w:numPr>
        <w:spacing w:before="60" w:after="60" w:line="300"/>
      </w:pPr>
      <w:r>
        <w:rPr>
          <w:rFonts w:ascii="Arial" w:cs="Arial" w:eastAsia="Arial" w:hAnsi="Arial"/>
          <w:color w:val="2E2E2E"/>
          <w:sz w:val="22"/>
          <w:szCs w:val="22"/>
        </w:rPr>
        <w:t xml:space="preserve">INFEASIBLE — constraint itself is contradictory or over-constrained</w:t>
      </w:r>
    </w:p>
    <w:p>
      <w:pPr>
        <w:pStyle w:val="ListParagraph"/>
        <w:numPr>
          <w:ilvl w:val="0"/>
          <w:numId w:val="2"/>
        </w:numPr>
        <w:spacing w:before="60" w:after="60" w:line="300"/>
      </w:pPr>
      <w:r>
        <w:rPr>
          <w:rFonts w:ascii="Arial" w:cs="Arial" w:eastAsia="Arial" w:hAnsi="Arial"/>
          <w:color w:val="2E2E2E"/>
          <w:sz w:val="22"/>
          <w:szCs w:val="22"/>
        </w:rPr>
        <w:t xml:space="preserve">ERROR — constraint was malformed or incomplete</w:t>
      </w:r>
    </w:p>
    <w:p>
      <w:pPr>
        <w:spacing w:before="120" w:after="0"/>
      </w:pPr>
      <w:r>
        <w:t xml:space="preserve"/>
      </w:r>
    </w:p>
    <w:p>
      <w:pPr>
        <w:pStyle w:val="Heading2"/>
        <w:spacing w:before="240" w:after="100"/>
      </w:pPr>
      <w:r>
        <w:rPr>
          <w:rFonts w:ascii="Arial" w:cs="Arial" w:eastAsia="Arial" w:hAnsi="Arial"/>
          <w:b/>
          <w:bCs/>
          <w:color w:val="2E75B6"/>
          <w:sz w:val="24"/>
          <w:szCs w:val="24"/>
        </w:rPr>
        <w:t xml:space="preserve">2.3  Constraint Faithfulness Fine-Tuning (CFFT) — The Novel Contribution</w:t>
      </w:r>
    </w:p>
    <w:p>
      <w:pPr>
        <w:spacing w:before="80" w:after="80" w:line="320"/>
      </w:pPr>
      <w:r>
        <w:rPr>
          <w:rFonts w:ascii="Arial" w:cs="Arial" w:eastAsia="Arial" w:hAnsi="Arial"/>
          <w:color w:val="2E2E2E"/>
          <w:sz w:val="22"/>
          <w:szCs w:val="22"/>
        </w:rPr>
        <w:t xml:space="preserve">The key methodological innovation is using solver feedback as a training signal. We collect (natural language, IR, solver signal) triples and fine-tune the LLM with a constraint faithfulness objective:</w:t>
      </w:r>
    </w:p>
    <w:p>
      <w:pPr>
        <w:pStyle w:val="ListParagraph"/>
        <w:numPr>
          <w:ilvl w:val="0"/>
          <w:numId w:val="2"/>
        </w:numPr>
        <w:spacing w:before="60" w:after="60" w:line="300"/>
      </w:pPr>
      <w:r>
        <w:rPr>
          <w:rFonts w:ascii="Arial" w:cs="Arial" w:eastAsia="Arial" w:hAnsi="Arial"/>
          <w:color w:val="2E2E2E"/>
          <w:sz w:val="22"/>
          <w:szCs w:val="22"/>
        </w:rPr>
        <w:t xml:space="preserve">FEASIBLE examples are positive training signal</w:t>
      </w:r>
    </w:p>
    <w:p>
      <w:pPr>
        <w:pStyle w:val="ListParagraph"/>
        <w:numPr>
          <w:ilvl w:val="0"/>
          <w:numId w:val="2"/>
        </w:numPr>
        <w:spacing w:before="60" w:after="60" w:line="300"/>
      </w:pPr>
      <w:r>
        <w:rPr>
          <w:rFonts w:ascii="Arial" w:cs="Arial" w:eastAsia="Arial" w:hAnsi="Arial"/>
          <w:color w:val="2E2E2E"/>
          <w:sz w:val="22"/>
          <w:szCs w:val="22"/>
        </w:rPr>
        <w:t xml:space="preserve">INFEASIBLE and ERROR examples are used to construct contrastive pairs — the model is trained to distinguish the correct IR from its own failed generation</w:t>
      </w:r>
    </w:p>
    <w:p>
      <w:pPr>
        <w:pStyle w:val="ListParagraph"/>
        <w:numPr>
          <w:ilvl w:val="0"/>
          <w:numId w:val="2"/>
        </w:numPr>
        <w:spacing w:before="60" w:after="60" w:line="300"/>
      </w:pPr>
      <w:r>
        <w:rPr>
          <w:rFonts w:ascii="Arial" w:cs="Arial" w:eastAsia="Arial" w:hAnsi="Arial"/>
          <w:color w:val="2E2E2E"/>
          <w:sz w:val="22"/>
          <w:szCs w:val="22"/>
        </w:rPr>
        <w:t xml:space="preserve">A lightweight verifier model learns to predict solver outcome before execution, enabling efficient filtering at inference time</w:t>
      </w:r>
    </w:p>
    <w:p>
      <w:pPr>
        <w:spacing w:before="120" w:after="0"/>
      </w:pPr>
      <w:r>
        <w:t xml:space="preserve"/>
      </w:r>
    </w:p>
    <w:p>
      <w:pPr>
        <w:spacing w:before="80" w:after="80" w:line="320"/>
      </w:pPr>
      <w:r>
        <w:rPr>
          <w:rFonts w:ascii="Arial" w:cs="Arial" w:eastAsia="Arial" w:hAnsi="Arial"/>
          <w:color w:val="2E2E2E"/>
          <w:sz w:val="22"/>
          <w:szCs w:val="22"/>
        </w:rPr>
        <w:t xml:space="preserve">This closed-loop design is what distinguishes SOLAR from prior work on NLP-to-code or semantic parsing. The solver is not just an evaluator — it is an active participant in training, providing a ground-truth feasibility signal that no human annotation can replicate.</w:t>
      </w:r>
    </w:p>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3.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BFF" w:val="clear"/>
            <w:tcMar>
              <w:top w:type="dxa" w:w="200"/>
              <w:left w:type="dxa" w:w="300"/>
              <w:bottom w:type="dxa" w:w="200"/>
              <w:right w:type="dxa" w:w="300"/>
            </w:tcMar>
          </w:tcPr>
          <w:p>
            <w:pPr>
              <w:spacing w:before="0" w:after="60"/>
            </w:pPr>
            <w:r>
              <w:rPr>
                <w:rFonts w:ascii="Courier New" w:cs="Courier New" w:eastAsia="Courier New" w:hAnsi="Courier New"/>
                <w:color w:val="595959"/>
                <w:sz w:val="20"/>
                <w:szCs w:val="20"/>
              </w:rPr>
              <w:t xml:space="preserve">  Policy Document (NL Text)</w:t>
            </w:r>
          </w:p>
          <w:p>
            <w:pPr>
              <w:spacing w:before="0" w:after="60"/>
            </w:pPr>
            <w:r>
              <w:rPr>
                <w:rFonts w:ascii="Courier New" w:cs="Courier New" w:eastAsia="Courier New" w:hAnsi="Courier New"/>
                <w:color w:val="2E75B6"/>
                <w:sz w:val="20"/>
                <w:szCs w:val="20"/>
              </w:rPr>
              <w:t xml:space="preserve">          │</w:t>
            </w:r>
          </w:p>
          <w:p>
            <w:pPr>
              <w:spacing w:before="0" w:after="60"/>
            </w:pPr>
            <w:r>
              <w:rPr>
                <w:rFonts w:ascii="Courier New" w:cs="Courier New" w:eastAsia="Courier New" w:hAnsi="Courier New"/>
                <w:color w:val="2E75B6"/>
                <w:sz w:val="20"/>
                <w:szCs w:val="20"/>
              </w:rPr>
              <w:t xml:space="preserve">          ▼</w:t>
            </w:r>
          </w:p>
          <w:p>
            <w:pPr>
              <w:spacing w:before="0" w:after="60"/>
            </w:pPr>
            <w:r>
              <w:rPr>
                <w:rFonts w:ascii="Courier New" w:cs="Courier New" w:eastAsia="Courier New" w:hAnsi="Courier New"/>
                <w:color w:val="1F4E79"/>
                <w:sz w:val="20"/>
                <w:szCs w:val="20"/>
              </w:rPr>
              <w:t xml:space="preserve">  ┌─────────────────────────────┐</w:t>
            </w:r>
          </w:p>
          <w:p>
            <w:pPr>
              <w:spacing w:before="0" w:after="60"/>
            </w:pPr>
            <w:r>
              <w:rPr>
                <w:rFonts w:ascii="Courier New" w:cs="Courier New" w:eastAsia="Courier New" w:hAnsi="Courier New"/>
                <w:color w:val="1F4E79"/>
                <w:sz w:val="20"/>
                <w:szCs w:val="20"/>
              </w:rPr>
              <w:t xml:space="preserve">  │  Fine-tuned LLM Extractor  │  ← Stage 1: NL → Constraint IR</w:t>
            </w:r>
          </w:p>
          <w:p>
            <w:pPr>
              <w:spacing w:before="0" w:after="60"/>
            </w:pPr>
            <w:r>
              <w:rPr>
                <w:rFonts w:ascii="Courier New" w:cs="Courier New" w:eastAsia="Courier New" w:hAnsi="Courier New"/>
                <w:color w:val="1F4E79"/>
                <w:sz w:val="20"/>
                <w:szCs w:val="20"/>
              </w:rPr>
              <w:t xml:space="preserve">  └──────────────┬──────────────┘</w:t>
            </w:r>
          </w:p>
          <w:p>
            <w:pPr>
              <w:spacing w:before="0" w:after="60"/>
            </w:pPr>
            <w:r>
              <w:rPr>
                <w:rFonts w:ascii="Courier New" w:cs="Courier New" w:eastAsia="Courier New" w:hAnsi="Courier New"/>
                <w:color w:val="595959"/>
                <w:sz w:val="20"/>
                <w:szCs w:val="20"/>
              </w:rPr>
              <w:t xml:space="preserve">                 │ Structured IR</w:t>
            </w:r>
          </w:p>
          <w:p>
            <w:pPr>
              <w:spacing w:before="0" w:after="60"/>
            </w:pPr>
            <w:r>
              <w:rPr>
                <w:rFonts w:ascii="Courier New" w:cs="Courier New" w:eastAsia="Courier New" w:hAnsi="Courier New"/>
                <w:color w:val="2E75B6"/>
                <w:sz w:val="20"/>
                <w:szCs w:val="20"/>
              </w:rPr>
              <w:t xml:space="preserve">                 ▼</w:t>
            </w:r>
          </w:p>
          <w:p>
            <w:pPr>
              <w:spacing w:before="0" w:after="60"/>
            </w:pPr>
            <w:r>
              <w:rPr>
                <w:rFonts w:ascii="Courier New" w:cs="Courier New" w:eastAsia="Courier New" w:hAnsi="Courier New"/>
                <w:color w:val="1F4E79"/>
                <w:sz w:val="20"/>
                <w:szCs w:val="20"/>
              </w:rPr>
              <w:t xml:space="preserve">  ┌─────────────────────────────┐</w:t>
            </w:r>
          </w:p>
          <w:p>
            <w:pPr>
              <w:spacing w:before="0" w:after="60"/>
            </w:pPr>
            <w:r>
              <w:rPr>
                <w:rFonts w:ascii="Courier New" w:cs="Courier New" w:eastAsia="Courier New" w:hAnsi="Courier New"/>
                <w:color w:val="1F4E79"/>
                <w:sz w:val="20"/>
                <w:szCs w:val="20"/>
              </w:rPr>
              <w:t xml:space="preserve">  │   Code Generator Module    │  ← Stage 2: IR → CP-SAT Code</w:t>
            </w:r>
          </w:p>
          <w:p>
            <w:pPr>
              <w:spacing w:before="0" w:after="60"/>
            </w:pPr>
            <w:r>
              <w:rPr>
                <w:rFonts w:ascii="Courier New" w:cs="Courier New" w:eastAsia="Courier New" w:hAnsi="Courier New"/>
                <w:color w:val="1F4E79"/>
                <w:sz w:val="20"/>
                <w:szCs w:val="20"/>
              </w:rPr>
              <w:t xml:space="preserve">  └──────────────┬──────────────┘</w:t>
            </w:r>
          </w:p>
          <w:p>
            <w:pPr>
              <w:spacing w:before="0" w:after="60"/>
            </w:pPr>
            <w:r>
              <w:rPr>
                <w:rFonts w:ascii="Courier New" w:cs="Courier New" w:eastAsia="Courier New" w:hAnsi="Courier New"/>
                <w:color w:val="595959"/>
                <w:sz w:val="20"/>
                <w:szCs w:val="20"/>
              </w:rPr>
              <w:t xml:space="preserve">                 │ Executable Code</w:t>
            </w:r>
          </w:p>
          <w:p>
            <w:pPr>
              <w:spacing w:before="0" w:after="60"/>
            </w:pPr>
            <w:r>
              <w:rPr>
                <w:rFonts w:ascii="Courier New" w:cs="Courier New" w:eastAsia="Courier New" w:hAnsi="Courier New"/>
                <w:color w:val="2E75B6"/>
                <w:sz w:val="20"/>
                <w:szCs w:val="20"/>
              </w:rPr>
              <w:t xml:space="preserve">                 ▼</w:t>
            </w:r>
          </w:p>
          <w:p>
            <w:pPr>
              <w:spacing w:before="0" w:after="60"/>
            </w:pPr>
            <w:r>
              <w:rPr>
                <w:rFonts w:ascii="Courier New" w:cs="Courier New" w:eastAsia="Courier New" w:hAnsi="Courier New"/>
                <w:color w:val="1A7A3A"/>
                <w:sz w:val="20"/>
                <w:szCs w:val="20"/>
              </w:rPr>
              <w:t xml:space="preserve">  ┌─────────────────────────────┐</w:t>
            </w:r>
          </w:p>
          <w:p>
            <w:pPr>
              <w:spacing w:before="0" w:after="60"/>
            </w:pPr>
            <w:r>
              <w:rPr>
                <w:rFonts w:ascii="Courier New" w:cs="Courier New" w:eastAsia="Courier New" w:hAnsi="Courier New"/>
                <w:color w:val="1A7A3A"/>
                <w:sz w:val="20"/>
                <w:szCs w:val="20"/>
              </w:rPr>
              <w:t xml:space="preserve">  │     Google OR-Tools        │  ← Stage 3: Execute &amp; Verify</w:t>
            </w:r>
          </w:p>
          <w:p>
            <w:pPr>
              <w:spacing w:before="0" w:after="60"/>
            </w:pPr>
            <w:r>
              <w:rPr>
                <w:rFonts w:ascii="Courier New" w:cs="Courier New" w:eastAsia="Courier New" w:hAnsi="Courier New"/>
                <w:color w:val="1A7A3A"/>
                <w:sz w:val="20"/>
                <w:szCs w:val="20"/>
              </w:rPr>
              <w:t xml:space="preserve">  │       CP-SAT Solver        │</w:t>
            </w:r>
          </w:p>
          <w:p>
            <w:pPr>
              <w:spacing w:before="0" w:after="60"/>
            </w:pPr>
            <w:r>
              <w:rPr>
                <w:rFonts w:ascii="Courier New" w:cs="Courier New" w:eastAsia="Courier New" w:hAnsi="Courier New"/>
                <w:color w:val="1A7A3A"/>
                <w:sz w:val="20"/>
                <w:szCs w:val="20"/>
              </w:rPr>
              <w:t xml:space="preserve">  └──────────────┬──────────────┘</w:t>
            </w:r>
          </w:p>
          <w:p>
            <w:pPr>
              <w:spacing w:before="0" w:after="60"/>
            </w:pPr>
            <w:r>
              <w:rPr>
                <w:rFonts w:ascii="Courier New" w:cs="Courier New" w:eastAsia="Courier New" w:hAnsi="Courier New"/>
                <w:color w:val="595959"/>
                <w:sz w:val="20"/>
                <w:szCs w:val="20"/>
              </w:rPr>
              <w:t xml:space="preserve">                 │ FEASIBLE / INFEASIBLE / ERROR</w:t>
            </w:r>
          </w:p>
          <w:p>
            <w:pPr>
              <w:spacing w:before="0" w:after="60"/>
            </w:pPr>
            <w:r>
              <w:rPr>
                <w:rFonts w:ascii="Courier New" w:cs="Courier New" w:eastAsia="Courier New" w:hAnsi="Courier New"/>
                <w:color w:val="C0392B"/>
                <w:sz w:val="20"/>
                <w:szCs w:val="20"/>
              </w:rPr>
              <w:t xml:space="preserve">                 ▼</w:t>
            </w:r>
          </w:p>
          <w:p>
            <w:pPr>
              <w:spacing w:before="0" w:after="60"/>
            </w:pPr>
            <w:r>
              <w:rPr>
                <w:rFonts w:ascii="Courier New" w:cs="Courier New" w:eastAsia="Courier New" w:hAnsi="Courier New"/>
                <w:color w:val="C0392B"/>
                <w:sz w:val="20"/>
                <w:szCs w:val="20"/>
              </w:rPr>
              <w:t xml:space="preserve">  ┌─────────────────────────────┐</w:t>
            </w:r>
          </w:p>
          <w:p>
            <w:pPr>
              <w:spacing w:before="0" w:after="0"/>
            </w:pPr>
            <w:r>
              <w:rPr>
                <w:rFonts w:ascii="Courier New" w:cs="Courier New" w:eastAsia="Courier New" w:hAnsi="Courier New"/>
                <w:color w:val="C0392B"/>
                <w:sz w:val="20"/>
                <w:szCs w:val="20"/>
              </w:rPr>
              <w:t xml:space="preserve">  │  CFFT Training Signal  ◄───┘  ← Stage 4: Feedback Loop</w:t>
            </w:r>
          </w:p>
          <w:p>
            <w:pPr>
              <w:spacing w:before="0" w:after="0"/>
            </w:pPr>
            <w:r>
              <w:rPr>
                <w:rFonts w:ascii="Courier New" w:cs="Courier New" w:eastAsia="Courier New" w:hAnsi="Courier New"/>
                <w:color w:val="C0392B"/>
                <w:sz w:val="20"/>
                <w:szCs w:val="20"/>
              </w:rPr>
              <w:t xml:space="preserve">  │  (Contrastive Fine-tuning)  │</w:t>
            </w:r>
          </w:p>
          <w:p>
            <w:pPr>
              <w:spacing w:before="0" w:after="0"/>
            </w:pPr>
            <w:r>
              <w:rPr>
                <w:rFonts w:ascii="Courier New" w:cs="Courier New" w:eastAsia="Courier New" w:hAnsi="Courier New"/>
                <w:color w:val="C0392B"/>
                <w:sz w:val="20"/>
                <w:szCs w:val="20"/>
              </w:rPr>
              <w:t xml:space="preserve">  └─────────────────────────────┘</w:t>
            </w:r>
          </w:p>
        </w:tc>
      </w:tr>
    </w:tbl>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4.  Data Sources (All Publicly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Source</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Description &amp; Relevance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0"/>
                <w:szCs w:val="20"/>
              </w:rPr>
              <w:t xml:space="preserve">FTA Regulatory Documents</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E2E2E"/>
                <w:sz w:val="20"/>
                <w:szCs w:val="20"/>
              </w:rPr>
              <w:t xml:space="preserve">U.S. Federal Transit Administration rule filings — rich in hard operational constraints (hours-of-service, maintenance intervals, safety rules)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0"/>
                <w:szCs w:val="20"/>
              </w:rPr>
              <w:t xml:space="preserve">Transit CBAs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E2E2E"/>
                <w:sz w:val="20"/>
                <w:szCs w:val="20"/>
              </w:rPr>
              <w:t xml:space="preserve">Collective bargaining agreements from MTA, MBTA, WMATA, CTA — densely annotated with driver/operator constraint language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0"/>
                <w:szCs w:val="20"/>
              </w:rPr>
              <w:t xml:space="preserve">GTFS &amp; GTFS-RT Specs</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E2E2E"/>
                <w:sz w:val="20"/>
                <w:szCs w:val="20"/>
              </w:rPr>
              <w:t xml:space="preserve">Industry standard spec for transit data — defines scheduling and constraint vocabulary formally; useful for alignment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0"/>
                <w:szCs w:val="20"/>
              </w:rPr>
              <w:t xml:space="preserve">NTSB Incident Reports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E2E2E"/>
                <w:sz w:val="20"/>
                <w:szCs w:val="20"/>
              </w:rPr>
              <w:t xml:space="preserve">Post-incident reports contain causal constraint violations, useful as negative examples of constraint failures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0"/>
                <w:szCs w:val="20"/>
              </w:rPr>
              <w:t xml:space="preserve">Synthetic Augmentation</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E2E2E"/>
                <w:sz w:val="20"/>
                <w:szCs w:val="20"/>
              </w:rPr>
              <w:t xml:space="preserve">GPT-4 used to generate additional (NL, IR, constraint code) triples to supplement sparse real annotations</w:t>
            </w:r>
          </w:p>
        </w:tc>
      </w:tr>
    </w:tbl>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5.  Experimental Plan</w:t>
      </w:r>
    </w:p>
    <w:p>
      <w:pPr>
        <w:pStyle w:val="Heading2"/>
        <w:spacing w:before="240" w:after="100"/>
      </w:pPr>
      <w:r>
        <w:rPr>
          <w:rFonts w:ascii="Arial" w:cs="Arial" w:eastAsia="Arial" w:hAnsi="Arial"/>
          <w:b/>
          <w:bCs/>
          <w:color w:val="2E75B6"/>
          <w:sz w:val="24"/>
          <w:szCs w:val="24"/>
        </w:rPr>
        <w:t xml:space="preserve">5.1  Baselines</w:t>
      </w:r>
    </w:p>
    <w:p>
      <w:pPr>
        <w:pStyle w:val="ListParagraph"/>
        <w:numPr>
          <w:ilvl w:val="0"/>
          <w:numId w:val="2"/>
        </w:numPr>
        <w:spacing w:before="60" w:after="60" w:line="300"/>
      </w:pPr>
      <w:r>
        <w:rPr>
          <w:rFonts w:ascii="Arial" w:cs="Arial" w:eastAsia="Arial" w:hAnsi="Arial"/>
          <w:color w:val="2E2E2E"/>
          <w:sz w:val="22"/>
          <w:szCs w:val="22"/>
        </w:rPr>
        <w:t xml:space="preserve">Direct prompting — GPT-4 / Llama-3 asked to generate CP-SAT code from raw NL text (zero-shot)</w:t>
      </w:r>
    </w:p>
    <w:p>
      <w:pPr>
        <w:pStyle w:val="ListParagraph"/>
        <w:numPr>
          <w:ilvl w:val="0"/>
          <w:numId w:val="2"/>
        </w:numPr>
        <w:spacing w:before="60" w:after="60" w:line="300"/>
      </w:pPr>
      <w:r>
        <w:rPr>
          <w:rFonts w:ascii="Arial" w:cs="Arial" w:eastAsia="Arial" w:hAnsi="Arial"/>
          <w:color w:val="2E2E2E"/>
          <w:sz w:val="22"/>
          <w:szCs w:val="22"/>
        </w:rPr>
        <w:t xml:space="preserve">Chain-of-thought prompting — standard CoT applied to constraint extraction</w:t>
      </w:r>
    </w:p>
    <w:p>
      <w:pPr>
        <w:pStyle w:val="ListParagraph"/>
        <w:numPr>
          <w:ilvl w:val="0"/>
          <w:numId w:val="2"/>
        </w:numPr>
        <w:spacing w:before="60" w:after="60" w:line="300"/>
      </w:pPr>
      <w:r>
        <w:rPr>
          <w:rFonts w:ascii="Arial" w:cs="Arial" w:eastAsia="Arial" w:hAnsi="Arial"/>
          <w:color w:val="2E2E2E"/>
          <w:sz w:val="22"/>
          <w:szCs w:val="22"/>
        </w:rPr>
        <w:t xml:space="preserve">ConstraintLLM (Shi et al., EMNLP 2025) — adapted to our domain; the strongest and most directly comparable prior system</w:t>
      </w:r>
    </w:p>
    <w:p>
      <w:pPr>
        <w:pStyle w:val="ListParagraph"/>
        <w:numPr>
          <w:ilvl w:val="0"/>
          <w:numId w:val="2"/>
        </w:numPr>
        <w:spacing w:before="60" w:after="60" w:line="300"/>
      </w:pPr>
      <w:r>
        <w:rPr>
          <w:rFonts w:ascii="Arial" w:cs="Arial" w:eastAsia="Arial" w:hAnsi="Arial"/>
          <w:color w:val="2E2E2E"/>
          <w:sz w:val="22"/>
          <w:szCs w:val="22"/>
        </w:rPr>
        <w:t xml:space="preserve">ACMG (2025) — iterative MiniZinc-based NL-to-constraint pipeline, adapted to CP-SAT</w:t>
      </w:r>
    </w:p>
    <w:p>
      <w:pPr>
        <w:pStyle w:val="ListParagraph"/>
        <w:numPr>
          <w:ilvl w:val="0"/>
          <w:numId w:val="2"/>
        </w:numPr>
        <w:spacing w:before="60" w:after="60" w:line="300"/>
      </w:pPr>
      <w:r>
        <w:rPr>
          <w:rFonts w:ascii="Arial" w:cs="Arial" w:eastAsia="Arial" w:hAnsi="Arial"/>
          <w:color w:val="2E2E2E"/>
          <w:sz w:val="22"/>
          <w:szCs w:val="22"/>
        </w:rPr>
        <w:t xml:space="preserve">SOLAR without CFFT — ablation removing the contrastive solver feedback training loop</w:t>
      </w:r>
    </w:p>
    <w:p>
      <w:pPr>
        <w:spacing w:before="100" w:after="0"/>
      </w:pPr>
      <w:r>
        <w:t xml:space="preserve"/>
      </w:r>
    </w:p>
    <w:p>
      <w:pPr>
        <w:pStyle w:val="Heading2"/>
        <w:spacing w:before="240" w:after="100"/>
      </w:pPr>
      <w:r>
        <w:rPr>
          <w:rFonts w:ascii="Arial" w:cs="Arial" w:eastAsia="Arial" w:hAnsi="Arial"/>
          <w:b/>
          <w:bCs/>
          <w:color w:val="2E75B6"/>
          <w:sz w:val="24"/>
          <w:szCs w:val="24"/>
        </w:rPr>
        <w:t xml:space="preserve">5.2  Evaluation Metrics</w:t>
      </w:r>
    </w:p>
    <w:p>
      <w:pPr>
        <w:pStyle w:val="ListParagraph"/>
        <w:numPr>
          <w:ilvl w:val="0"/>
          <w:numId w:val="2"/>
        </w:numPr>
        <w:spacing w:before="60" w:after="60" w:line="300"/>
      </w:pPr>
      <w:r>
        <w:rPr>
          <w:rFonts w:ascii="Arial" w:cs="Arial" w:eastAsia="Arial" w:hAnsi="Arial"/>
          <w:color w:val="2E2E2E"/>
          <w:sz w:val="22"/>
          <w:szCs w:val="22"/>
        </w:rPr>
        <w:t xml:space="preserve">Constraint Faithfulness Score (CFS) — % of generated constraints that are solver-executable and match gold schema</w:t>
      </w:r>
    </w:p>
    <w:p>
      <w:pPr>
        <w:pStyle w:val="ListParagraph"/>
        <w:numPr>
          <w:ilvl w:val="0"/>
          <w:numId w:val="2"/>
        </w:numPr>
        <w:spacing w:before="60" w:after="60" w:line="300"/>
      </w:pPr>
      <w:r>
        <w:rPr>
          <w:rFonts w:ascii="Arial" w:cs="Arial" w:eastAsia="Arial" w:hAnsi="Arial"/>
          <w:color w:val="2E2E2E"/>
          <w:sz w:val="22"/>
          <w:szCs w:val="22"/>
        </w:rPr>
        <w:t xml:space="preserve">Hard/Soft Classification Accuracy — does the model correctly identify constraint type?</w:t>
      </w:r>
    </w:p>
    <w:p>
      <w:pPr>
        <w:pStyle w:val="ListParagraph"/>
        <w:numPr>
          <w:ilvl w:val="0"/>
          <w:numId w:val="2"/>
        </w:numPr>
        <w:spacing w:before="60" w:after="60" w:line="300"/>
      </w:pPr>
      <w:r>
        <w:rPr>
          <w:rFonts w:ascii="Arial" w:cs="Arial" w:eastAsia="Arial" w:hAnsi="Arial"/>
          <w:color w:val="2E2E2E"/>
          <w:sz w:val="22"/>
          <w:szCs w:val="22"/>
        </w:rPr>
        <w:t xml:space="preserve">Threshold Extraction Accuracy — are quantitative bounds correctly captured?</w:t>
      </w:r>
    </w:p>
    <w:p>
      <w:pPr>
        <w:pStyle w:val="ListParagraph"/>
        <w:numPr>
          <w:ilvl w:val="0"/>
          <w:numId w:val="2"/>
        </w:numPr>
        <w:spacing w:before="60" w:after="60" w:line="300"/>
      </w:pPr>
      <w:r>
        <w:rPr>
          <w:rFonts w:ascii="Arial" w:cs="Arial" w:eastAsia="Arial" w:hAnsi="Arial"/>
          <w:color w:val="2E2E2E"/>
          <w:sz w:val="22"/>
          <w:szCs w:val="22"/>
        </w:rPr>
        <w:t xml:space="preserve">Schedule Validity Rate — when constraints are applied to a real CP-SAT instance, does the resulting schedule pass all ground-truth rules?</w:t>
      </w:r>
    </w:p>
    <w:p>
      <w:pPr>
        <w:spacing w:before="100" w:after="0"/>
      </w:pPr>
      <w:r>
        <w:t xml:space="preserve"/>
      </w:r>
    </w:p>
    <w:p>
      <w:pPr>
        <w:pStyle w:val="Heading2"/>
        <w:spacing w:before="240" w:after="100"/>
      </w:pPr>
      <w:r>
        <w:rPr>
          <w:rFonts w:ascii="Arial" w:cs="Arial" w:eastAsia="Arial" w:hAnsi="Arial"/>
          <w:b/>
          <w:bCs/>
          <w:color w:val="2E75B6"/>
          <w:sz w:val="24"/>
          <w:szCs w:val="24"/>
        </w:rPr>
        <w:t xml:space="preserve">5.3  Ablation Studies</w:t>
      </w:r>
    </w:p>
    <w:p>
      <w:pPr>
        <w:pStyle w:val="ListParagraph"/>
        <w:numPr>
          <w:ilvl w:val="0"/>
          <w:numId w:val="2"/>
        </w:numPr>
        <w:spacing w:before="60" w:after="60" w:line="300"/>
      </w:pPr>
      <w:r>
        <w:rPr>
          <w:rFonts w:ascii="Arial" w:cs="Arial" w:eastAsia="Arial" w:hAnsi="Arial"/>
          <w:color w:val="2E2E2E"/>
          <w:sz w:val="22"/>
          <w:szCs w:val="22"/>
        </w:rPr>
        <w:t xml:space="preserve">Impact of CFFT training signal size (10, 100, 500, 1000 solver feedback triples)</w:t>
      </w:r>
    </w:p>
    <w:p>
      <w:pPr>
        <w:pStyle w:val="ListParagraph"/>
        <w:numPr>
          <w:ilvl w:val="0"/>
          <w:numId w:val="2"/>
        </w:numPr>
        <w:spacing w:before="60" w:after="60" w:line="300"/>
      </w:pPr>
      <w:r>
        <w:rPr>
          <w:rFonts w:ascii="Arial" w:cs="Arial" w:eastAsia="Arial" w:hAnsi="Arial"/>
          <w:color w:val="2E2E2E"/>
          <w:sz w:val="22"/>
          <w:szCs w:val="22"/>
        </w:rPr>
        <w:t xml:space="preserve">Verifier model accuracy vs. solver execution cost trade-off</w:t>
      </w:r>
    </w:p>
    <w:p>
      <w:pPr>
        <w:pStyle w:val="ListParagraph"/>
        <w:numPr>
          <w:ilvl w:val="0"/>
          <w:numId w:val="2"/>
        </w:numPr>
        <w:spacing w:before="60" w:after="60" w:line="300"/>
      </w:pPr>
      <w:r>
        <w:rPr>
          <w:rFonts w:ascii="Arial" w:cs="Arial" w:eastAsia="Arial" w:hAnsi="Arial"/>
          <w:color w:val="2E2E2E"/>
          <w:sz w:val="22"/>
          <w:szCs w:val="22"/>
        </w:rPr>
        <w:t xml:space="preserve">Generalization: train on FTA docs, evaluate on CBA documents (domain shift)</w:t>
      </w:r>
    </w:p>
    <w:p>
      <w:pPr>
        <w:pStyle w:val="ListParagraph"/>
        <w:numPr>
          <w:ilvl w:val="0"/>
          <w:numId w:val="2"/>
        </w:numPr>
        <w:spacing w:before="60" w:after="60" w:line="300"/>
      </w:pPr>
      <w:r>
        <w:rPr>
          <w:rFonts w:ascii="Arial" w:cs="Arial" w:eastAsia="Arial" w:hAnsi="Arial"/>
          <w:color w:val="2E2E2E"/>
          <w:sz w:val="22"/>
          <w:szCs w:val="22"/>
        </w:rPr>
        <w:t xml:space="preserve">Error analysis: taxonomy of failure modes across constraint types</w:t>
      </w:r>
    </w:p>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6.  Novelty &amp; Research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Contribution</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How it Differs from Prior Work</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Solver-in-the-Loop Training</w:t>
            </w:r>
          </w:p>
        </w:tc>
        <w:tc>
          <w:tcPr>
            <w:tcW w:type="dxa" w:w="6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2E2E2E"/>
                <w:sz w:val="20"/>
                <w:szCs w:val="20"/>
              </w:rPr>
              <w:t xml:space="preserve">Prior NL-to-code work uses human-labeled gold code. We use solver execution results as automated, ground-truth feedback — eliminating annotation bottleneck.</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0"/>
                <w:szCs w:val="20"/>
              </w:rPr>
              <w:t xml:space="preserve">Constraint Faithfulness Fine-Tuning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E2E2E"/>
                <w:sz w:val="20"/>
                <w:szCs w:val="20"/>
              </w:rPr>
              <w:t xml:space="preserve">Novel contrastive training objective specifically designed for hard-constraint generation. Not done in prior semantic parsing or code generation work.</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Constraint IR Schema</w:t>
            </w:r>
          </w:p>
        </w:tc>
        <w:tc>
          <w:tcPr>
            <w:tcW w:type="dxa" w:w="6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2E2E2E"/>
                <w:sz w:val="20"/>
                <w:szCs w:val="20"/>
              </w:rPr>
              <w:t xml:space="preserve">We define a typed intermediate representation for operational constraints — a reusable artifact for the NLP community beyond transit.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0"/>
                <w:szCs w:val="20"/>
              </w:rPr>
              <w:t xml:space="preserve">Transit Operations Benchmark</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E2E2E"/>
                <w:sz w:val="20"/>
                <w:szCs w:val="20"/>
              </w:rPr>
              <w:t xml:space="preserve">First NLP benchmark grounded in transit operational constraint language — publicly releasable, replicable by other researchers.</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Domain Expertise Integration</w:t>
            </w:r>
          </w:p>
        </w:tc>
        <w:tc>
          <w:tcPr>
            <w:tcW w:type="dxa" w:w="6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2E2E2E"/>
                <w:sz w:val="20"/>
                <w:szCs w:val="20"/>
              </w:rPr>
              <w:t xml:space="preserve">CP-SAT domain knowledge (hard vs. soft, feasibility, variable binding) directly shapes the model architecture — not just applied as post-processing.</w:t>
            </w:r>
          </w:p>
        </w:tc>
      </w:tr>
    </w:tbl>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7.  Related Work</w:t>
      </w:r>
    </w:p>
    <w:p>
      <w:pPr>
        <w:spacing w:before="80" w:after="80" w:line="320"/>
      </w:pPr>
      <w:r>
        <w:rPr>
          <w:rFonts w:ascii="Arial" w:cs="Arial" w:eastAsia="Arial" w:hAnsi="Arial"/>
          <w:color w:val="2E2E2E"/>
          <w:sz w:val="22"/>
          <w:szCs w:val="22"/>
        </w:rPr>
        <w:t xml:space="preserve">A thorough literature search confirms that the exact combination proposed in SOLAR has not been published: no prior work applies contrastive solver-feedback fine-tuning to real-world operational policy documents, nor is any benchmark available for transit constraint language. However, several closely related threads exist and must be engaged with directly in the final paper.</w:t>
      </w:r>
    </w:p>
    <w:p>
      <w:pPr>
        <w:spacing w:before="140" w:after="0"/>
      </w:pPr>
      <w:r>
        <w:t xml:space="preserve"/>
      </w:r>
    </w:p>
    <w:p>
      <w:pPr>
        <w:pStyle w:val="Heading2"/>
        <w:spacing w:before="240" w:after="100"/>
      </w:pPr>
      <w:r>
        <w:rPr>
          <w:rFonts w:ascii="Arial" w:cs="Arial" w:eastAsia="Arial" w:hAnsi="Arial"/>
          <w:b/>
          <w:bCs/>
          <w:color w:val="2E75B6"/>
          <w:sz w:val="24"/>
          <w:szCs w:val="24"/>
        </w:rPr>
        <w:t xml:space="preserve">7.1  LLMs for Constraint Programming (Closest Related Work)</w:t>
      </w:r>
    </w:p>
    <w:p>
      <w:pPr>
        <w:spacing w:before="80" w:after="80" w:line="320"/>
      </w:pPr>
      <w:r>
        <w:rPr>
          <w:rFonts w:ascii="Arial" w:cs="Arial" w:eastAsia="Arial" w:hAnsi="Arial"/>
          <w:color w:val="2E2E2E"/>
          <w:sz w:val="22"/>
          <w:szCs w:val="22"/>
        </w:rPr>
        <w:t xml:space="preserve">The most directly related paper is ConstraintLLM (Shi et al., EMNLP 2025), which introduces the first LLM fine-tuned specifically for constraint programming via multi-instruction supervised fine-tuning. It proposes a Constraint-Aware Retrieval Module (CARM) integrated in a Tree-of-Thoughts framework with guided self-correction, using solver feedback at inference time. It also releases IndusCP, an industrial-level CP benchmark with 140 tasks across varied domains.</w:t>
      </w:r>
    </w:p>
    <w:p>
      <w:pPr>
        <w:spacing w:before="80" w:after="0"/>
      </w:pPr>
      <w:r>
        <w:t xml:space="preserve"/>
      </w:r>
    </w:p>
    <w:p>
      <w:pPr>
        <w:spacing w:before="80" w:after="80" w:line="320"/>
      </w:pPr>
      <w:r>
        <w:rPr>
          <w:rFonts w:ascii="Arial" w:cs="Arial" w:eastAsia="Arial" w:hAnsi="Arial"/>
          <w:color w:val="2E2E2E"/>
          <w:sz w:val="22"/>
          <w:szCs w:val="22"/>
        </w:rPr>
        <w:t xml:space="preserve">SOLAR advances beyond ConstraintLLM in three concrete ways. First, ConstraintLLM uses solver feedback only for inference-time self-correction; SOLAR uses it as a contrastive training signal (CFFT) — a fundamentally different, more data-efficient learning mechanism that improves the model weights rather than just the output at test time. Second, ConstraintLLM operates on well-formed combinatorial problem descriptions; SOLAR operates on messy, legally-binding real-world policy documents where the hard/soft constraint boundary is implicit and must be inferred from regulatory language. Third, IndusCP contains engineered benchmark tasks; TransitOpsBench contains authentic regulatory text, making it a harder, more practically grounded evaluation.</w:t>
      </w:r>
    </w:p>
    <w:p>
      <w:pPr>
        <w:spacing w:before="120" w:after="0"/>
      </w:pPr>
      <w:r>
        <w:t xml:space="preserve"/>
      </w:r>
    </w:p>
    <w:p>
      <w:pPr>
        <w:spacing w:before="80" w:after="80" w:line="320"/>
      </w:pPr>
      <w:r>
        <w:rPr>
          <w:rFonts w:ascii="Arial" w:cs="Arial" w:eastAsia="Arial" w:hAnsi="Arial"/>
          <w:color w:val="2E2E2E"/>
          <w:sz w:val="22"/>
          <w:szCs w:val="22"/>
        </w:rPr>
        <w:t xml:space="preserve">CP-LLMs-ICL (Michailidis et al., CP 2024) prompts LLMs to produce CP models via optional intermediate representations, evaluating on logic grid puzzles. ACMG (2025) fine-tunes LLMs to translate natural language CSP descriptions into MiniZinc models with iterative solver validation — close in pipeline architecture but limited to structured problem inputs and without a contrastive training objective. MCP-Solver (2025) connects LLMs to symbolic solvers via the Model Context Protocol for interactive constraint editing, but is an inference-time tool with no training component.</w:t>
      </w:r>
    </w:p>
    <w:p>
      <w:pPr>
        <w:spacing w:before="140" w:after="0"/>
      </w:pPr>
      <w:r>
        <w:t xml:space="preserve"/>
      </w:r>
    </w:p>
    <w:p>
      <w:pPr>
        <w:pStyle w:val="Heading2"/>
        <w:spacing w:before="240" w:after="100"/>
      </w:pPr>
      <w:r>
        <w:rPr>
          <w:rFonts w:ascii="Arial" w:cs="Arial" w:eastAsia="Arial" w:hAnsi="Arial"/>
          <w:b/>
          <w:bCs/>
          <w:color w:val="2E75B6"/>
          <w:sz w:val="24"/>
          <w:szCs w:val="24"/>
        </w:rPr>
        <w:t xml:space="preserve">7.2  Semantic Parsing &amp; NL-to-Code</w:t>
      </w:r>
    </w:p>
    <w:p>
      <w:pPr>
        <w:spacing w:before="80" w:after="80" w:line="320"/>
      </w:pPr>
      <w:r>
        <w:rPr>
          <w:rFonts w:ascii="Arial" w:cs="Arial" w:eastAsia="Arial" w:hAnsi="Arial"/>
          <w:color w:val="2E2E2E"/>
          <w:sz w:val="22"/>
          <w:szCs w:val="22"/>
        </w:rPr>
        <w:t xml:space="preserve">Classical semantic parsing work (Liang et al., 2023; Yin &amp; Neubig, 2017; Scholak et al., 2021 on NL-to-SQL) trains on human-annotated (NL, formal expression) pairs with clean, well-formed inputs. SOLAR departs from this paradigm by using solver execution as an automated annotation signal, dramatically reducing dependence on expert annotators — a key advantage for a domain where transit constraint expertise is scarce. The ACL 2025 survey on LLMs as planning formalizers reviews NL-to-PDDL approaches and identifies correction mechanisms as a major open challenge; SOLAR's training-time CFFT directly addresses this.</w:t>
      </w:r>
    </w:p>
    <w:p>
      <w:pPr>
        <w:spacing w:before="140" w:after="0"/>
      </w:pPr>
      <w:r>
        <w:t xml:space="preserve"/>
      </w:r>
    </w:p>
    <w:p>
      <w:pPr>
        <w:pStyle w:val="Heading2"/>
        <w:spacing w:before="240" w:after="100"/>
      </w:pPr>
      <w:r>
        <w:rPr>
          <w:rFonts w:ascii="Arial" w:cs="Arial" w:eastAsia="Arial" w:hAnsi="Arial"/>
          <w:b/>
          <w:bCs/>
          <w:color w:val="2E75B6"/>
          <w:sz w:val="24"/>
          <w:szCs w:val="24"/>
        </w:rPr>
        <w:t xml:space="preserve">7.3  Regulatory &amp; Legal NLP</w:t>
      </w:r>
    </w:p>
    <w:p>
      <w:pPr>
        <w:spacing w:before="80" w:after="80" w:line="320"/>
      </w:pPr>
      <w:r>
        <w:rPr>
          <w:rFonts w:ascii="Arial" w:cs="Arial" w:eastAsia="Arial" w:hAnsi="Arial"/>
          <w:color w:val="2E2E2E"/>
          <w:sz w:val="22"/>
          <w:szCs w:val="22"/>
        </w:rPr>
        <w:t xml:space="preserve">A Springer survey on legal information extraction (2025) identifies NER, relation extraction, and event detection in legal documents as active areas, with prior work applying BiLSTM-CRF to procedural constraints in Chinese construction regulations. The RegNLP 2025 workshop (co-located with COLING) explicitly calls for NLP applied to compliance monitoring and regulatory document interpretation. Importantly, no existing work combines regulatory NLP with formal constraint verification via an operational solver. Transit-specific regulatory language — FTA rules, collective bargaining agreements, GTFS scheduling specs — is entirely unexplored in the NLP literature, representing a clear and claimable gap.</w:t>
      </w:r>
    </w:p>
    <w:p>
      <w:pPr>
        <w:spacing w:before="140" w:after="0"/>
      </w:pPr>
      <w:r>
        <w:t xml:space="preserve"/>
      </w:r>
    </w:p>
    <w:p>
      <w:pPr>
        <w:pStyle w:val="Heading2"/>
        <w:spacing w:before="240" w:after="100"/>
      </w:pPr>
      <w:r>
        <w:rPr>
          <w:rFonts w:ascii="Arial" w:cs="Arial" w:eastAsia="Arial" w:hAnsi="Arial"/>
          <w:b/>
          <w:bCs/>
          <w:color w:val="2E75B6"/>
          <w:sz w:val="24"/>
          <w:szCs w:val="24"/>
        </w:rPr>
        <w:t xml:space="preserve">7.4  LLMs for Scheduling &amp; Operations</w:t>
      </w:r>
    </w:p>
    <w:p>
      <w:pPr>
        <w:spacing w:before="80" w:after="80" w:line="320"/>
      </w:pPr>
      <w:r>
        <w:rPr>
          <w:rFonts w:ascii="Arial" w:cs="Arial" w:eastAsia="Arial" w:hAnsi="Arial"/>
          <w:color w:val="2E2E2E"/>
          <w:sz w:val="22"/>
          <w:szCs w:val="22"/>
        </w:rPr>
        <w:t xml:space="preserve">Recent work on LLMs generating textual explanations for scheduling systems (Springer JIIS, 2025) demonstrates LLM potential in scheduling workflows but explicitly notes that generalist models struggle with domain-specific constraint satisfaction. This validates the motivation for SOLAR's domain-adapted, solver-grounded approach. No prior work combines transit scheduling domain knowledge with NLP-based constraint extraction and formal verification.</w:t>
      </w:r>
    </w:p>
    <w:p>
      <w:pPr>
        <w:spacing w:before="140" w:after="0"/>
      </w:pPr>
      <w:r>
        <w:t xml:space="preserve"/>
      </w:r>
    </w:p>
    <w:p>
      <w:pPr>
        <w:pStyle w:val="Heading2"/>
        <w:spacing w:before="240" w:after="100"/>
      </w:pPr>
      <w:r>
        <w:rPr>
          <w:rFonts w:ascii="Arial" w:cs="Arial" w:eastAsia="Arial" w:hAnsi="Arial"/>
          <w:b/>
          <w:bCs/>
          <w:color w:val="2E75B6"/>
          <w:sz w:val="24"/>
          <w:szCs w:val="24"/>
        </w:rPr>
        <w:t xml:space="preserve">7.5  Summary: Where SOLAR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Dimension</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SOLAR vs. Prior Work</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0"/>
                <w:szCs w:val="20"/>
              </w:rPr>
              <w:t xml:space="preserve">Training signal</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E2E2E"/>
                <w:sz w:val="20"/>
                <w:szCs w:val="20"/>
              </w:rPr>
              <w:t xml:space="preserve">Prior work: human annotations or inference-time correction. SOLAR: CP-SAT solver feasibility as contrastive fine-tuning signal — automated, scalable, verifiable ground truth.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0"/>
                <w:szCs w:val="20"/>
              </w:rPr>
              <w:t xml:space="preserve">Input text type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E2E2E"/>
                <w:sz w:val="20"/>
                <w:szCs w:val="20"/>
              </w:rPr>
              <w:t xml:space="preserve">Prior work: clean puzzle/problem descriptions. SOLAR: real-world regulatory policy text with implicit, ambiguous constraint boundaries.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0"/>
                <w:szCs w:val="20"/>
              </w:rPr>
              <w:t xml:space="preserve">Hard/soft distinction</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E2E2E"/>
                <w:sz w:val="20"/>
                <w:szCs w:val="20"/>
              </w:rPr>
              <w:t xml:space="preserve">No prior work explicitly models the hard vs. soft constraint boundary from natural language. SOLAR has a dedicated classification objective for this.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0"/>
                <w:szCs w:val="20"/>
              </w:rPr>
              <w:t xml:space="preserve">Domain benchmark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E2E2E"/>
                <w:sz w:val="20"/>
                <w:szCs w:val="20"/>
              </w:rPr>
              <w:t xml:space="preserve">No NLP benchmark exists for transit operational constraint language. TransitOpsBench is the first, covering FTA docs, CBAs, and GTFS specs.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0"/>
                <w:szCs w:val="20"/>
              </w:rPr>
              <w:t xml:space="preserve">Solver target</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E2E2E"/>
                <w:sz w:val="20"/>
                <w:szCs w:val="20"/>
              </w:rPr>
              <w:t xml:space="preserve">Most prior work uses MiniZinc or generic solvers. SOLAR targets Google OR-Tools CP-SAT, the industrial standard in production transit optimization.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0"/>
                <w:szCs w:val="20"/>
              </w:rPr>
              <w:t xml:space="preserve">Generalization test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E2E2E"/>
                <w:sz w:val="20"/>
                <w:szCs w:val="20"/>
              </w:rPr>
              <w:t xml:space="preserve">SOLAR evaluates cross-document domain shift (train on FTA, test on CBAs) — absent from all prior benchmarks.</w:t>
            </w:r>
          </w:p>
        </w:tc>
      </w:tr>
    </w:tbl>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8.  Why This Paper Belongs at EMNLP</w:t>
      </w:r>
    </w:p>
    <w:p>
      <w:pPr>
        <w:spacing w:before="80" w:after="80" w:line="320"/>
      </w:pPr>
      <w:r>
        <w:rPr>
          <w:rFonts w:ascii="Arial" w:cs="Arial" w:eastAsia="Arial" w:hAnsi="Arial"/>
          <w:color w:val="2E2E2E"/>
          <w:sz w:val="22"/>
          <w:szCs w:val="22"/>
        </w:rPr>
        <w:t xml:space="preserve">EMNLP has a strong tradition of rewarding papers that combine methodological rigor with grounded, real-world applications. The publication of ConstraintLLM at EMNLP 2025 confirms the community's appetite for this research direction — and SOLAR's advances over it are concrete and measurable. This proposal fits squarely within EMNLP's core tracks:</w:t>
      </w:r>
    </w:p>
    <w:p>
      <w:pPr>
        <w:spacing w:before="80" w:after="0"/>
      </w:pPr>
      <w:r>
        <w:t xml:space="preserve"/>
      </w:r>
    </w:p>
    <w:p>
      <w:pPr>
        <w:pStyle w:val="ListParagraph"/>
        <w:numPr>
          <w:ilvl w:val="0"/>
          <w:numId w:val="2"/>
        </w:numPr>
        <w:spacing w:before="60" w:after="60" w:line="300"/>
      </w:pPr>
      <w:r>
        <w:rPr>
          <w:rFonts w:ascii="Arial" w:cs="Arial" w:eastAsia="Arial" w:hAnsi="Arial"/>
          <w:color w:val="2E2E2E"/>
          <w:sz w:val="22"/>
          <w:szCs w:val="22"/>
        </w:rPr>
        <w:t xml:space="preserve">NLP Applications — transit is a high-impact societal domain; millions of daily riders are affected by schedule quality generated by the kind of systems SOLAR supports</w:t>
      </w:r>
    </w:p>
    <w:p>
      <w:pPr>
        <w:pStyle w:val="ListParagraph"/>
        <w:numPr>
          <w:ilvl w:val="0"/>
          <w:numId w:val="2"/>
        </w:numPr>
        <w:spacing w:before="60" w:after="60" w:line="300"/>
      </w:pPr>
      <w:r>
        <w:rPr>
          <w:rFonts w:ascii="Arial" w:cs="Arial" w:eastAsia="Arial" w:hAnsi="Arial"/>
          <w:color w:val="2E2E2E"/>
          <w:sz w:val="22"/>
          <w:szCs w:val="22"/>
        </w:rPr>
        <w:t xml:space="preserve">Structured Prediction — constraint IR extraction is a structured prediction task with a novel, formally grounded schema</w:t>
      </w:r>
    </w:p>
    <w:p>
      <w:pPr>
        <w:pStyle w:val="ListParagraph"/>
        <w:numPr>
          <w:ilvl w:val="0"/>
          <w:numId w:val="2"/>
        </w:numPr>
        <w:spacing w:before="60" w:after="60" w:line="300"/>
      </w:pPr>
      <w:r>
        <w:rPr>
          <w:rFonts w:ascii="Arial" w:cs="Arial" w:eastAsia="Arial" w:hAnsi="Arial"/>
          <w:color w:val="2E2E2E"/>
          <w:sz w:val="22"/>
          <w:szCs w:val="22"/>
        </w:rPr>
        <w:t xml:space="preserve">Reasoning — SOLAR directly addresses LLM reasoning failures on constraint-heavy operational text, one of the most active areas in current EMNLP discourse</w:t>
      </w:r>
    </w:p>
    <w:p>
      <w:pPr>
        <w:pStyle w:val="ListParagraph"/>
        <w:numPr>
          <w:ilvl w:val="0"/>
          <w:numId w:val="2"/>
        </w:numPr>
        <w:spacing w:before="60" w:after="60" w:line="300"/>
      </w:pPr>
      <w:r>
        <w:rPr>
          <w:rFonts w:ascii="Arial" w:cs="Arial" w:eastAsia="Arial" w:hAnsi="Arial"/>
          <w:color w:val="2E2E2E"/>
          <w:sz w:val="22"/>
          <w:szCs w:val="22"/>
        </w:rPr>
        <w:t xml:space="preserve">Resources &amp; Evaluation — TransitOpsBench and the constraint IR schema are first-of-kind, publicly releasable community contributions</w:t>
      </w:r>
    </w:p>
    <w:p>
      <w:pPr>
        <w:spacing w:before="80" w:after="0"/>
      </w:pPr>
      <w:r>
        <w:t xml:space="preserve"/>
      </w:r>
    </w:p>
    <w:p>
      <w:pPr>
        <w:spacing w:before="80" w:after="80" w:line="320"/>
      </w:pPr>
      <w:r>
        <w:rPr>
          <w:rFonts w:ascii="Arial" w:cs="Arial" w:eastAsia="Arial" w:hAnsi="Arial"/>
          <w:color w:val="2E2E2E"/>
          <w:sz w:val="22"/>
          <w:szCs w:val="22"/>
        </w:rPr>
        <w:t xml:space="preserve">Crucially, this paper cannot be written without the author's unique combination of CP-SAT operational expertise and NLP/ML capability. No purely academic lab could build TransitOpsBench or design the CFFT objective without significant domain collaboration — making this a genuinely irreplaceable contribution.</w:t>
      </w:r>
    </w:p>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9.  Proposed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Phase</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Activities &amp; Deliverables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0"/>
                <w:szCs w:val="20"/>
              </w:rPr>
              <w:t xml:space="preserve">Month 1–2</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E2E2E"/>
                <w:sz w:val="20"/>
                <w:szCs w:val="20"/>
              </w:rPr>
              <w:t xml:space="preserve">Data collection: FTA docs, CBAs, GTFS specs. Design constraint IR schema. Annotate 200–300 seed examples with CP-SAT constraints.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0"/>
                <w:szCs w:val="20"/>
              </w:rPr>
              <w:t xml:space="preserve">Month 3–4</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E2E2E"/>
                <w:sz w:val="20"/>
                <w:szCs w:val="20"/>
              </w:rPr>
              <w:t xml:space="preserve">Implement Stage 1 (LLM extractor) + Stage 2 (code generator). Run baseline models. Build solver execution harness.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0"/>
                <w:szCs w:val="20"/>
              </w:rPr>
              <w:t xml:space="preserve">Month 5–6</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E2E2E"/>
                <w:sz w:val="20"/>
                <w:szCs w:val="20"/>
              </w:rPr>
              <w:t xml:space="preserve">Implement CFFT training loop. Run ablations. Generate synthetic augmentation data with GPT-4.</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0"/>
                <w:szCs w:val="20"/>
              </w:rPr>
              <w:t xml:space="preserve">Month 7–8</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E2E2E"/>
                <w:sz w:val="20"/>
                <w:szCs w:val="20"/>
              </w:rPr>
              <w:t xml:space="preserve">Full experimental evaluation. Error analysis. Write paper sections (method, experiments, analysis).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0"/>
                <w:szCs w:val="20"/>
              </w:rPr>
              <w:t xml:space="preserve">Month 9</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E2E2E"/>
                <w:sz w:val="20"/>
                <w:szCs w:val="20"/>
              </w:rPr>
              <w:t xml:space="preserve">Related work, introduction, abstract. Internal review. Revisions.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0"/>
                <w:szCs w:val="20"/>
              </w:rPr>
              <w:t xml:space="preserve">Month 10</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E2E2E"/>
                <w:sz w:val="20"/>
                <w:szCs w:val="20"/>
              </w:rPr>
              <w:t xml:space="preserve">Final polish, submission-ready draft. Share with advisor for feedback.</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40"/>
              <w:left w:type="dxa" w:w="360"/>
              <w:bottom w:type="dxa" w:w="240"/>
              <w:right w:type="dxa" w:w="360"/>
            </w:tcMar>
          </w:tcPr>
          <w:p>
            <w:pPr>
              <w:spacing w:before="0" w:after="80"/>
              <w:jc w:val="center"/>
            </w:pPr>
            <w:r>
              <w:rPr>
                <w:rFonts w:ascii="Arial" w:cs="Arial" w:eastAsia="Arial" w:hAnsi="Arial"/>
                <w:b/>
                <w:bCs/>
                <w:color w:val="1F4E79"/>
                <w:sz w:val="26"/>
                <w:szCs w:val="26"/>
              </w:rPr>
              <w:t xml:space="preserve">Why This Research Matters</w:t>
            </w:r>
          </w:p>
          <w:p>
            <w:pPr>
              <w:spacing w:before="0" w:after="0"/>
              <w:jc w:val="center"/>
            </w:pPr>
            <w:r>
              <w:rPr>
                <w:rFonts w:ascii="Arial" w:cs="Arial" w:eastAsia="Arial" w:hAnsi="Arial"/>
                <w:i/>
                <w:iCs/>
                <w:color w:val="2E2E2E"/>
                <w:sz w:val="21"/>
                <w:szCs w:val="21"/>
              </w:rPr>
              <w:t xml:space="preserve">Every transit agency in the world faces the same bottleneck: hard operational constraints locked inside natural language documents, manually translated into solvers by expensive domain experts. SOLAR offers a generalizable, LLM-powered solution grounded in formal verification — with immediate real-world impact and a clear path to follow-on research across logistics, healthcare scheduling, and legal compliance.</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595959"/>
        <w:sz w:val="16"/>
        <w:szCs w:val="16"/>
      </w:rPr>
      <w:t xml:space="preserve">Constraint-Aware NLP for Transit Operations</w:t>
    </w:r>
    <w:r>
      <w:rPr>
        <w:rFonts w:ascii="Arial" w:cs="Arial" w:eastAsia="Arial" w:hAnsi="Arial"/>
        <w:sz w:val="16"/>
        <w:szCs w:val="16"/>
      </w:rPr>
      <w:t xml:space="preserve">	</w:t>
    </w:r>
    <w:r>
      <w:rPr>
        <w:rFonts w:ascii="Arial" w:cs="Arial" w:eastAsia="Arial" w:hAnsi="Arial"/>
        <w:color w:val="595959"/>
        <w:sz w:val="16"/>
        <w:szCs w:val="16"/>
      </w:rPr>
      <w:t xml:space="preserve">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pPr>
    <w:r>
      <w:rPr>
        <w:rFonts w:ascii="Arial" w:cs="Arial" w:eastAsia="Arial" w:hAnsi="Arial"/>
        <w:color w:val="595959"/>
        <w:sz w:val="18"/>
        <w:szCs w:val="18"/>
      </w:rPr>
      <w:t xml:space="preserve">Research Proposal  |  EMNLP Submission</w:t>
    </w:r>
    <w:r>
      <w:rPr>
        <w:rFonts w:ascii="Arial" w:cs="Arial" w:eastAsia="Arial" w:hAnsi="Arial"/>
        <w:sz w:val="18"/>
        <w:szCs w:val="18"/>
      </w:rPr>
      <w:t xml:space="preserve">	</w:t>
    </w:r>
    <w:r>
      <w:rPr>
        <w:rFonts w:ascii="Arial" w:cs="Arial" w:eastAsia="Arial" w:hAnsi="Arial"/>
        <w:i/>
        <w:iCs/>
        <w:color w:val="595959"/>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2026-03-14T00:31:16.813Z</dcterms:created>
  <dcterms:modified xsi:type="dcterms:W3CDTF">2026-03-14T00:31:16.814Z</dcterms:modified>
</cp:coreProperties>
</file>

<file path=docProps/custom.xml><?xml version="1.0" encoding="utf-8"?>
<Properties xmlns="http://schemas.openxmlformats.org/officeDocument/2006/custom-properties" xmlns:vt="http://schemas.openxmlformats.org/officeDocument/2006/docPropsVTypes"/>
</file>