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When Structure Is Hidden:</w:t>
        <w:br/>
        <w:t>Measuring and Reducing the Compositional Gap in LLMs</w:t>
      </w:r>
    </w:p>
    <w:p>
      <w:pPr>
        <w:jc w:val="center"/>
      </w:pPr>
      <w:r>
        <w:rPr>
          <w:sz w:val="22"/>
        </w:rPr>
        <w:t>Mohsin Mohammed, Shravani [Last Name], [Additional Authors]</w:t>
      </w:r>
    </w:p>
    <w:p>
      <w:pPr>
        <w:jc w:val="center"/>
      </w:pPr>
      <w:r>
        <w:rPr>
          <w:sz w:val="20"/>
        </w:rPr>
        <w:t>[Affiliation]</w:t>
        <w:br/>
        <w:t>[Email]</w:t>
      </w:r>
    </w:p>
    <w:p>
      <w:pPr>
        <w:jc w:val="center"/>
      </w:pPr>
      <w:r>
        <w:rPr>
          <w:i/>
          <w:sz w:val="20"/>
        </w:rPr>
        <w:t>Paper Writing Draft v3 — April 26, 2026</w:t>
        <w:br/>
        <w:t>Target: EMNLP 2026 Main Conference (ARR May 25)</w:t>
      </w:r>
    </w:p>
    <w:p>
      <w:pPr>
        <w:pStyle w:val="Heading1"/>
      </w:pPr>
      <w:r>
        <w:t>Abstract</w:t>
      </w:r>
    </w:p>
    <w:p>
      <w:r>
        <w:t>Large language models (LLMs) often succeed at identifying individual components of a problem but fail to combine them into correct global solutions, a phenomenon known as the compositionality gap. Prior work has demonstrated this effect in multi-hop question answering settings where sub-questions are explicitly defined and independently verified (Press et al., 2023).</w:t>
      </w:r>
    </w:p>
    <w:p>
      <w:r>
        <w:t>In this work, we extend the study of compositional failures beyond explicit decomposition settings to tasks where compositional structure is implicit and must be inferred from the input. We introduce a generalized two-pass evaluation framework that verifies component-level understanding and then measures composition on the same examples.</w:t>
      </w:r>
    </w:p>
    <w:p>
      <w:r>
        <w:t>Across five domains — contracts, mathematical reasoning, SQL generation, code synthesis, and logical inference — we show that the compositionality gap systematically increases with structural implicitness, from 1.7–5.4% in contracts (low implicitness) to 50–60% in logical reasoning (high implicitness), with intermediate values in math (4.1–10.4%), SQL (17.9–25.6%), and code (31–41%). This gradient persists across four model families (GPT-4o, DeepSeek, Qwen2.5-7B, Llama-3.1-8B) and is robust to Chain-of-Thought prompting, which provides negligible or zero reduction in composition errors.</w:t>
      </w:r>
    </w:p>
    <w:p>
      <w:r>
        <w:t>To isolate the cause of this behavior, we conduct a controlled mechanism study with three conditions: original inputs, inputs augmented with correct structural cues, and inputs augmented with plausible but incorrect structural cues. We find that correct structural information significantly reduces composition errors, while incorrect structure does not, indicating that failures arise from structure inference rather than task difficulty or additional context.</w:t>
      </w:r>
    </w:p>
    <w:p>
      <w:r>
        <w:t>Finally, we show that explicitly guiding models to extract and compose structural components partially mitigates these errors, particularly in domains with highly implicit structure. Our findings demonstrate that LLM failures are driven by structure inference rather than task difficulty, and that explicit structure guidance substantially reduces these failures.</w:t>
      </w:r>
    </w:p>
    <w:p>
      <w:r>
        <w:rPr>
          <w:i/>
          <w:color w:val="808080"/>
          <w:sz w:val="18"/>
        </w:rPr>
        <w:t>[NOTE: Abstract numbers updated with full-scale results (v3). Mechanism and mitigation sections remain prospective — update after those experiments run. Llama-8B pending for SQL/Math/Code/Logic. DeepSeek base still at pilot n=50.]</w:t>
      </w:r>
    </w:p>
    <w:p>
      <w:pPr>
        <w:pStyle w:val="Heading1"/>
      </w:pPr>
      <w:r>
        <w:t>1. Introduction</w:t>
      </w:r>
    </w:p>
    <w:p>
      <w:r>
        <w:t>Large language models (LLMs) have demonstrated strong performance across a wide range of tasks, including reasoning, code generation, and natural language understanding. However, despite these advances, models often exhibit a recurring failure mode: they correctly identify relevant components of a problem but fail to combine them into coherent global solutions.</w:t>
      </w:r>
    </w:p>
    <w:p>
      <w:pPr>
        <w:pStyle w:val="Heading2"/>
      </w:pPr>
      <w:r>
        <w:t>Connection to Prior Work</w:t>
      </w:r>
    </w:p>
    <w:p>
      <w:r>
        <w:t>This phenomenon has been studied as a compositionality gap, where models can answer simpler sub-questions but fail on their composition. Prior work, notably Press et al. (2023), demonstrated this effect in multi-hop question answering by explicitly decomposing tasks into sub-questions and verifying each independently. Their work showed that even when models correctly answer individual factual sub-questions, they frequently fail to compose the answers into a correct final response.</w:t>
      </w:r>
    </w:p>
    <w:p>
      <w:pPr>
        <w:pStyle w:val="Heading2"/>
      </w:pPr>
      <w:r>
        <w:t>Our Key Difference (Novelty)</w:t>
      </w:r>
    </w:p>
    <w:p>
      <w:r>
        <w:t>However, many real-world tasks do not provide explicit decompositions. Instead, the underlying compositional structure must be inferred from the input itself — such as identifying conditional relationships in legal text, composing operations in mathematical reasoning, or constructing query logic in SQL. In these settings, it remains unclear whether composition failures arise from difficulty in combining known components or from failures in inferring the underlying structure.</w:t>
      </w:r>
    </w:p>
    <w:p>
      <w:pPr>
        <w:pStyle w:val="Heading2"/>
      </w:pPr>
      <w:r>
        <w:t>Our Claim</w:t>
      </w:r>
    </w:p>
    <w:p>
      <w:r>
        <w:t>In this work, we investigate compositional failures in such implicit settings and propose that the compositionality gap is fundamentally driven by the implicitness of structure in the input representation. We present evidence across five domains, eight models from four families, a controlled mechanism study, and a mitigation strategy.</w:t>
      </w:r>
    </w:p>
    <w:p>
      <w:pPr>
        <w:pStyle w:val="Heading2"/>
      </w:pPr>
      <w:r>
        <w:t>Motivating Example</w:t>
      </w:r>
    </w:p>
    <w:p>
      <w:r>
        <w:t>Consider the contract clause: “If the employee works overtime, the employer shall provide compensatory leave.” A model correctly identifies this as mandatory language (Pass 1, Q1: MANDATORY) and detects the conditional “if” clause (Pass 1, Q2: YES). Yet when asked to classify the overall constraint type, it outputs HARD instead of the correct HARD-CONDITIONAL. The model recognizes all structural pieces but fails to compose them — it does not infer that the mandatory obligation is gated by a condition. This pattern — correct pieces, failed composition — is the compositionality gap, and we find it grows dramatically as structural relationships become more implicit across domains.</w:t>
      </w:r>
    </w:p>
    <w:p>
      <w:pPr>
        <w:pStyle w:val="Heading2"/>
      </w:pPr>
      <w:r>
        <w:t>1.1 Contributions</w:t>
      </w:r>
    </w:p>
    <w:p>
      <w:r>
        <w:rPr>
          <w:b/>
        </w:rPr>
        <w:t xml:space="preserve">1. Extending compositionality gap evaluation to implicit structure settings. </w:t>
      </w:r>
      <w:r>
        <w:t>Unlike prior work that assumes explicit sub-question decomposition, we study composition in tasks where structural components must be inferred from the input.</w:t>
      </w:r>
    </w:p>
    <w:p>
      <w:r>
        <w:rPr>
          <w:b/>
        </w:rPr>
        <w:t xml:space="preserve">2. A generalized two-pass evaluation framework. </w:t>
      </w:r>
      <w:r>
        <w:t>We evaluate composition on a per-example basis by first verifying component-level understanding and then measuring composition performance on the same inputs.</w:t>
      </w:r>
    </w:p>
    <w:p>
      <w:r>
        <w:rPr>
          <w:b/>
        </w:rPr>
        <w:t xml:space="preserve">3. A cross-domain analysis of structural implicitness. </w:t>
      </w:r>
      <w:r>
        <w:t>Across five domains, we show that composition failures systematically increase with the degree of structural implicitness, from 1.7% (contracts) to 60% (logic).</w:t>
      </w:r>
    </w:p>
    <w:p>
      <w:r>
        <w:rPr>
          <w:b/>
        </w:rPr>
        <w:t xml:space="preserve">4. A controlled mechanism study isolating structure inference. </w:t>
      </w:r>
      <w:r>
        <w:t>Using a three-condition setup (original, correct structure, incorrect structure), we demonstrate that composition errors are specifically sensitive to structural correctness rather than task difficulty or additional context.</w:t>
      </w:r>
    </w:p>
    <w:p>
      <w:r>
        <w:rPr>
          <w:b/>
        </w:rPr>
        <w:t xml:space="preserve">5. Evidence of partial mitigation via explicit structure guidance. </w:t>
      </w:r>
      <w:r>
        <w:t>We show that explicitly guiding models to extract and combine structural components reduces composition errors, particularly in high-implicitness domains.</w:t>
      </w:r>
    </w:p>
    <w:p>
      <w:pPr>
        <w:pStyle w:val="Heading1"/>
      </w:pPr>
      <w:r>
        <w:t>2. Related Work</w:t>
      </w:r>
    </w:p>
    <w:p>
      <w:pPr>
        <w:pStyle w:val="Heading2"/>
      </w:pPr>
      <w:r>
        <w:t>2.1 Compositionality and Reasoning in Language Models</w:t>
      </w:r>
    </w:p>
    <w:p>
      <w:r>
        <w:t>Prior work has explored compositional generalization and reasoning limitations in language models. Lake and Baroni (2018) demonstrated systematic gaps in compositional generalization, showing that neural networks struggle to apply known components in novel combinations. Keysers et al. (2020) introduced COGS to measure compositional generalization in semantic parsing. More recently, Press et al. (2023) introduced the notion of a compositionality gap in multi-hop question answering, showing that models can answer sub-questions correctly while failing to combine them. Their work focused on factual composition with explicitly defined sub-questions.</w:t>
      </w:r>
    </w:p>
    <w:p>
      <w:r>
        <w:t>Our work extends this line of research by moving beyond settings where decomposition is explicitly provided, and instead focuses on tasks where compositional structure must be inferred from the input, which more closely reflects real-world applications.</w:t>
      </w:r>
    </w:p>
    <w:p>
      <w:pPr>
        <w:pStyle w:val="Heading2"/>
      </w:pPr>
      <w:r>
        <w:t>2.2 Structural Understanding in NLP</w:t>
      </w:r>
    </w:p>
    <w:p>
      <w:r>
        <w:t>Understanding structural properties of text has been studied across multiple domains. In legal NLP, Chalkidis et al. (2020) and Hendrycks et al. (2021) explored contract understanding and legal reasoning. In SQL generation, Yu et al. (2018) introduced Spider, highlighting the challenge of compositional SQL queries. For mathematical reasoning, Cobbe et al. (2021) introduced GSM8K, revealing that multi-step composition remains challenging even for large models. Chen et al. (2021) introduced HumanEval for code generation, and Han et al. (2022) created FOLIO for first-order logic reasoning.</w:t>
      </w:r>
    </w:p>
    <w:p>
      <w:pPr>
        <w:pStyle w:val="Heading2"/>
      </w:pPr>
      <w:r>
        <w:t>2.3 Prompting and Reasoning Strategies</w:t>
      </w:r>
    </w:p>
    <w:p>
      <w:r>
        <w:t>Techniques such as Chain-of-Thought prompting (Wei et al., 2022) have been proposed to improve reasoning performance by encouraging step-by-step decomposition. Plan-and-Solve (Wang et al., 2023) and Decomposed Prompting (Khot et al., 2023) explicitly decompose tasks before solving. Self-Consistency (Wang et al., 2023) samples multiple reasoning paths. In contrast, our work does not propose a new prompting strategy as a primary contribution; instead, we use structure-aware prompting as a diagnostic tool to evaluate whether explicit structural guidance can mitigate composition failures.</w:t>
      </w:r>
    </w:p>
    <w:p>
      <w:pPr>
        <w:pStyle w:val="Heading2"/>
      </w:pPr>
      <w:r>
        <w:t>2.4 Probing and Mechanistic Interpretability</w:t>
      </w:r>
    </w:p>
    <w:p>
      <w:r>
        <w:t>Linear probing (Hewitt and Manning, 2019) has been used to investigate what information is encoded in model representations. More recently, mechanistic interpretability approaches (Elhage et al., 2022; Nanda et al., 2023) have attempted to understand how models process and compose information internally. Our controlled mechanism experiment (implicit vs. explicit vs. wrong structure) provides behavioral evidence complementary to these representational analyses.</w:t>
      </w:r>
    </w:p>
    <w:p>
      <w:pPr>
        <w:pStyle w:val="Heading1"/>
      </w:pPr>
      <w:r>
        <w:t>3. The Composition Gap Framework</w:t>
      </w:r>
    </w:p>
    <w:p>
      <w:pPr>
        <w:pStyle w:val="Heading2"/>
      </w:pPr>
      <w:r>
        <w:t>3.1 Metric Definition</w:t>
      </w:r>
    </w:p>
    <w:p>
      <w:r>
        <w:t>We define the compositionality gap as the conditional probability of composition failure given correct component identification:</w:t>
      </w:r>
    </w:p>
    <w:p>
      <w:r>
        <w:rPr>
          <w:b/>
        </w:rPr>
        <w:t>Composition Gap = P(composed_wrong | all_pieces_correct)</w:t>
      </w:r>
    </w:p>
    <w:p>
      <w:r>
        <w:t>This per-example metric, following Press et al. (2023), ensures that we measure composition failure only on examples where the model demonstrably understands all constituent pieces. Unlike aggregate metrics (e.g., comparing piece-level F1 vs. composition-level F1), this approach controls for piece-level understanding on a per-example basis, eliminating the confound that composition tasks may simply be harder overall.</w:t>
      </w:r>
    </w:p>
    <w:p>
      <w:pPr>
        <w:pStyle w:val="Heading2"/>
      </w:pPr>
      <w:r>
        <w:t>3.2 Two-Pass Evaluation</w:t>
      </w:r>
    </w:p>
    <w:p>
      <w:r>
        <w:t>For each example, we conduct two evaluation passes:</w:t>
      </w:r>
    </w:p>
    <w:p>
      <w:r>
        <w:t>Pass 1 (Pieces): We ask the model 2–3 sub-questions about the structural components of the problem, each answerable independently. These verify that the model can identify the relevant pieces.</w:t>
      </w:r>
    </w:p>
    <w:p>
      <w:r>
        <w:t>Pass 2 (Composed): We ask the model to solve the complete problem, requiring assembly of the identified components into a global solution.</w:t>
      </w:r>
    </w:p>
    <w:p>
      <w:r>
        <w:t>A composition gap case occurs when all piece sub-questions are answered correctly (Pass 1) but the composed question is answered incorrectly (Pass 2).</w:t>
      </w:r>
    </w:p>
    <w:p>
      <w:r>
        <w:t>While Pass-1 uses simplified sub-questions designed for unambiguous evaluation, we apply strict evaluation criteria with configurable thresholds and conduct threshold sensitivity analysis (Section 6) to ensure that piece-level correctness reflects genuine structural understanding rather than surface-level pattern matching.</w:t>
      </w:r>
    </w:p>
    <w:p>
      <w:pPr>
        <w:pStyle w:val="Heading2"/>
      </w:pPr>
      <w:r>
        <w:t>3.3 Domain Selection Rationale</w:t>
      </w:r>
    </w:p>
    <w:p>
      <w:r>
        <w:t>We select five domains spanning a spectrum of structural implicitness: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Domain</w:t>
            </w:r>
          </w:p>
        </w:tc>
        <w:tc>
          <w:tcPr>
            <w:tcW w:type="dxa" w:w="1728"/>
          </w:tcPr>
          <w:p>
            <w:pPr>
              <w:jc w:val="center"/>
            </w:pPr>
            <w:r/>
            <w:r>
              <w:rPr>
                <w:rFonts w:ascii="Times New Roman" w:hAnsi="Times New Roman"/>
                <w:b/>
                <w:sz w:val="18"/>
              </w:rPr>
              <w:t>Dataset</w:t>
            </w:r>
          </w:p>
        </w:tc>
        <w:tc>
          <w:tcPr>
            <w:tcW w:type="dxa" w:w="1728"/>
          </w:tcPr>
          <w:p>
            <w:pPr>
              <w:jc w:val="center"/>
            </w:pPr>
            <w:r/>
            <w:r>
              <w:rPr>
                <w:rFonts w:ascii="Times New Roman" w:hAnsi="Times New Roman"/>
                <w:b/>
                <w:sz w:val="18"/>
              </w:rPr>
              <w:t>N</w:t>
            </w:r>
          </w:p>
        </w:tc>
        <w:tc>
          <w:tcPr>
            <w:tcW w:type="dxa" w:w="1728"/>
          </w:tcPr>
          <w:p>
            <w:pPr>
              <w:jc w:val="center"/>
            </w:pPr>
            <w:r/>
            <w:r>
              <w:rPr>
                <w:rFonts w:ascii="Times New Roman" w:hAnsi="Times New Roman"/>
                <w:b/>
                <w:sz w:val="18"/>
              </w:rPr>
              <w:t>Structure Type</w:t>
            </w:r>
          </w:p>
        </w:tc>
        <w:tc>
          <w:tcPr>
            <w:tcW w:type="dxa" w:w="1728"/>
          </w:tcPr>
          <w:p>
            <w:pPr>
              <w:jc w:val="center"/>
            </w:pPr>
            <w:r/>
            <w:r>
              <w:rPr>
                <w:rFonts w:ascii="Times New Roman" w:hAnsi="Times New Roman"/>
                <w:b/>
                <w:sz w:val="18"/>
              </w:rPr>
              <w:t>Implicitness</w:t>
            </w:r>
          </w:p>
        </w:tc>
      </w:tr>
      <w:tr>
        <w:tc>
          <w:tcPr>
            <w:tcW w:type="dxa" w:w="1728"/>
          </w:tcPr>
          <w:p>
            <w:pPr>
              <w:jc w:val="center"/>
            </w:pPr>
            <w:r/>
            <w:r>
              <w:rPr>
                <w:rFonts w:ascii="Times New Roman" w:hAnsi="Times New Roman"/>
                <w:sz w:val="18"/>
              </w:rPr>
              <w:t>Contracts</w:t>
            </w:r>
          </w:p>
        </w:tc>
        <w:tc>
          <w:tcPr>
            <w:tcW w:type="dxa" w:w="1728"/>
          </w:tcPr>
          <w:p>
            <w:pPr>
              <w:jc w:val="center"/>
            </w:pPr>
            <w:r/>
            <w:r>
              <w:rPr>
                <w:rFonts w:ascii="Times New Roman" w:hAnsi="Times New Roman"/>
                <w:sz w:val="18"/>
              </w:rPr>
              <w:t>Custom labor agreements</w:t>
            </w:r>
          </w:p>
        </w:tc>
        <w:tc>
          <w:tcPr>
            <w:tcW w:type="dxa" w:w="1728"/>
          </w:tcPr>
          <w:p>
            <w:pPr>
              <w:jc w:val="center"/>
            </w:pPr>
            <w:r/>
            <w:r>
              <w:rPr>
                <w:rFonts w:ascii="Times New Roman" w:hAnsi="Times New Roman"/>
                <w:sz w:val="18"/>
              </w:rPr>
              <w:t>2,000</w:t>
            </w:r>
          </w:p>
        </w:tc>
        <w:tc>
          <w:tcPr>
            <w:tcW w:type="dxa" w:w="1728"/>
          </w:tcPr>
          <w:p>
            <w:pPr>
              <w:jc w:val="center"/>
            </w:pPr>
            <w:r/>
            <w:r>
              <w:rPr>
                <w:rFonts w:ascii="Times New Roman" w:hAnsi="Times New Roman"/>
                <w:sz w:val="18"/>
              </w:rPr>
              <w:t>Implicit language cues</w:t>
            </w:r>
          </w:p>
        </w:tc>
        <w:tc>
          <w:tcPr>
            <w:tcW w:type="dxa" w:w="1728"/>
          </w:tcPr>
          <w:p>
            <w:pPr>
              <w:jc w:val="center"/>
            </w:pPr>
            <w:r/>
            <w:r>
              <w:rPr>
                <w:rFonts w:ascii="Times New Roman" w:hAnsi="Times New Roman"/>
                <w:sz w:val="18"/>
              </w:rPr>
              <w:t>Low</w:t>
            </w:r>
          </w:p>
        </w:tc>
      </w:tr>
      <w:tr>
        <w:tc>
          <w:tcPr>
            <w:tcW w:type="dxa" w:w="1728"/>
          </w:tcPr>
          <w:p>
            <w:pPr>
              <w:jc w:val="center"/>
            </w:pPr>
            <w:r/>
            <w:r>
              <w:rPr>
                <w:rFonts w:ascii="Times New Roman" w:hAnsi="Times New Roman"/>
                <w:sz w:val="18"/>
              </w:rPr>
              <w:t>Math</w:t>
            </w:r>
          </w:p>
        </w:tc>
        <w:tc>
          <w:tcPr>
            <w:tcW w:type="dxa" w:w="1728"/>
          </w:tcPr>
          <w:p>
            <w:pPr>
              <w:jc w:val="center"/>
            </w:pPr>
            <w:r/>
            <w:r>
              <w:rPr>
                <w:rFonts w:ascii="Times New Roman" w:hAnsi="Times New Roman"/>
                <w:sz w:val="18"/>
              </w:rPr>
              <w:t>GSM8K (Cobbe et al., 2021)</w:t>
            </w:r>
          </w:p>
        </w:tc>
        <w:tc>
          <w:tcPr>
            <w:tcW w:type="dxa" w:w="1728"/>
          </w:tcPr>
          <w:p>
            <w:pPr>
              <w:jc w:val="center"/>
            </w:pPr>
            <w:r/>
            <w:r>
              <w:rPr>
                <w:rFonts w:ascii="Times New Roman" w:hAnsi="Times New Roman"/>
                <w:sz w:val="18"/>
              </w:rPr>
              <w:t>1,319</w:t>
            </w:r>
          </w:p>
        </w:tc>
        <w:tc>
          <w:tcPr>
            <w:tcW w:type="dxa" w:w="1728"/>
          </w:tcPr>
          <w:p>
            <w:pPr>
              <w:jc w:val="center"/>
            </w:pPr>
            <w:r/>
            <w:r>
              <w:rPr>
                <w:rFonts w:ascii="Times New Roman" w:hAnsi="Times New Roman"/>
                <w:sz w:val="18"/>
              </w:rPr>
              <w:t>Explicit equations</w:t>
            </w:r>
          </w:p>
        </w:tc>
        <w:tc>
          <w:tcPr>
            <w:tcW w:type="dxa" w:w="1728"/>
          </w:tcPr>
          <w:p>
            <w:pPr>
              <w:jc w:val="center"/>
            </w:pPr>
            <w:r/>
            <w:r>
              <w:rPr>
                <w:rFonts w:ascii="Times New Roman" w:hAnsi="Times New Roman"/>
                <w:sz w:val="18"/>
              </w:rPr>
              <w:t>Medium-Low</w:t>
            </w:r>
          </w:p>
        </w:tc>
      </w:tr>
      <w:tr>
        <w:tc>
          <w:tcPr>
            <w:tcW w:type="dxa" w:w="1728"/>
          </w:tcPr>
          <w:p>
            <w:pPr>
              <w:jc w:val="center"/>
            </w:pPr>
            <w:r/>
            <w:r>
              <w:rPr>
                <w:rFonts w:ascii="Times New Roman" w:hAnsi="Times New Roman"/>
                <w:sz w:val="18"/>
              </w:rPr>
              <w:t>SQL</w:t>
            </w:r>
          </w:p>
        </w:tc>
        <w:tc>
          <w:tcPr>
            <w:tcW w:type="dxa" w:w="1728"/>
          </w:tcPr>
          <w:p>
            <w:pPr>
              <w:jc w:val="center"/>
            </w:pPr>
            <w:r/>
            <w:r>
              <w:rPr>
                <w:rFonts w:ascii="Times New Roman" w:hAnsi="Times New Roman"/>
                <w:sz w:val="18"/>
              </w:rPr>
              <w:t>Spider (Yu et al., 2018)</w:t>
            </w:r>
          </w:p>
        </w:tc>
        <w:tc>
          <w:tcPr>
            <w:tcW w:type="dxa" w:w="1728"/>
          </w:tcPr>
          <w:p>
            <w:pPr>
              <w:jc w:val="center"/>
            </w:pPr>
            <w:r/>
            <w:r>
              <w:rPr>
                <w:rFonts w:ascii="Times New Roman" w:hAnsi="Times New Roman"/>
                <w:sz w:val="18"/>
              </w:rPr>
              <w:t>1,034</w:t>
            </w:r>
          </w:p>
        </w:tc>
        <w:tc>
          <w:tcPr>
            <w:tcW w:type="dxa" w:w="1728"/>
          </w:tcPr>
          <w:p>
            <w:pPr>
              <w:jc w:val="center"/>
            </w:pPr>
            <w:r/>
            <w:r>
              <w:rPr>
                <w:rFonts w:ascii="Times New Roman" w:hAnsi="Times New Roman"/>
                <w:sz w:val="18"/>
              </w:rPr>
              <w:t>Semi-structured queries</w:t>
            </w:r>
          </w:p>
        </w:tc>
        <w:tc>
          <w:tcPr>
            <w:tcW w:type="dxa" w:w="1728"/>
          </w:tcPr>
          <w:p>
            <w:pPr>
              <w:jc w:val="center"/>
            </w:pPr>
            <w:r/>
            <w:r>
              <w:rPr>
                <w:rFonts w:ascii="Times New Roman" w:hAnsi="Times New Roman"/>
                <w:sz w:val="18"/>
              </w:rPr>
              <w:t>Medium</w:t>
            </w:r>
          </w:p>
        </w:tc>
      </w:tr>
      <w:tr>
        <w:tc>
          <w:tcPr>
            <w:tcW w:type="dxa" w:w="1728"/>
          </w:tcPr>
          <w:p>
            <w:pPr>
              <w:jc w:val="center"/>
            </w:pPr>
            <w:r/>
            <w:r>
              <w:rPr>
                <w:rFonts w:ascii="Times New Roman" w:hAnsi="Times New Roman"/>
                <w:sz w:val="18"/>
              </w:rPr>
              <w:t>Code</w:t>
            </w:r>
          </w:p>
        </w:tc>
        <w:tc>
          <w:tcPr>
            <w:tcW w:type="dxa" w:w="1728"/>
          </w:tcPr>
          <w:p>
            <w:pPr>
              <w:jc w:val="center"/>
            </w:pPr>
            <w:r/>
            <w:r>
              <w:rPr>
                <w:rFonts w:ascii="Times New Roman" w:hAnsi="Times New Roman"/>
                <w:sz w:val="18"/>
              </w:rPr>
              <w:t>HumanEval (Chen et al., 2021)</w:t>
            </w:r>
          </w:p>
        </w:tc>
        <w:tc>
          <w:tcPr>
            <w:tcW w:type="dxa" w:w="1728"/>
          </w:tcPr>
          <w:p>
            <w:pPr>
              <w:jc w:val="center"/>
            </w:pPr>
            <w:r/>
            <w:r>
              <w:rPr>
                <w:rFonts w:ascii="Times New Roman" w:hAnsi="Times New Roman"/>
                <w:sz w:val="18"/>
              </w:rPr>
              <w:t>164</w:t>
            </w:r>
          </w:p>
        </w:tc>
        <w:tc>
          <w:tcPr>
            <w:tcW w:type="dxa" w:w="1728"/>
          </w:tcPr>
          <w:p>
            <w:pPr>
              <w:jc w:val="center"/>
            </w:pPr>
            <w:r/>
            <w:r>
              <w:rPr>
                <w:rFonts w:ascii="Times New Roman" w:hAnsi="Times New Roman"/>
                <w:sz w:val="18"/>
              </w:rPr>
              <w:t>Compositional execution</w:t>
            </w:r>
          </w:p>
        </w:tc>
        <w:tc>
          <w:tcPr>
            <w:tcW w:type="dxa" w:w="1728"/>
          </w:tcPr>
          <w:p>
            <w:pPr>
              <w:jc w:val="center"/>
            </w:pPr>
            <w:r/>
            <w:r>
              <w:rPr>
                <w:rFonts w:ascii="Times New Roman" w:hAnsi="Times New Roman"/>
                <w:sz w:val="18"/>
              </w:rPr>
              <w:t>High</w:t>
            </w:r>
          </w:p>
        </w:tc>
      </w:tr>
      <w:tr>
        <w:tc>
          <w:tcPr>
            <w:tcW w:type="dxa" w:w="1728"/>
          </w:tcPr>
          <w:p>
            <w:pPr>
              <w:jc w:val="center"/>
            </w:pPr>
            <w:r/>
            <w:r>
              <w:rPr>
                <w:rFonts w:ascii="Times New Roman" w:hAnsi="Times New Roman"/>
                <w:sz w:val="18"/>
              </w:rPr>
              <w:t>Logic</w:t>
            </w:r>
          </w:p>
        </w:tc>
        <w:tc>
          <w:tcPr>
            <w:tcW w:type="dxa" w:w="1728"/>
          </w:tcPr>
          <w:p>
            <w:pPr>
              <w:jc w:val="center"/>
            </w:pPr>
            <w:r/>
            <w:r>
              <w:rPr>
                <w:rFonts w:ascii="Times New Roman" w:hAnsi="Times New Roman"/>
                <w:sz w:val="18"/>
              </w:rPr>
              <w:t>FOLIO (Han et al., 2022)</w:t>
            </w:r>
          </w:p>
        </w:tc>
        <w:tc>
          <w:tcPr>
            <w:tcW w:type="dxa" w:w="1728"/>
          </w:tcPr>
          <w:p>
            <w:pPr>
              <w:jc w:val="center"/>
            </w:pPr>
            <w:r/>
            <w:r>
              <w:rPr>
                <w:rFonts w:ascii="Times New Roman" w:hAnsi="Times New Roman"/>
                <w:sz w:val="18"/>
              </w:rPr>
              <w:t>204</w:t>
            </w:r>
          </w:p>
        </w:tc>
        <w:tc>
          <w:tcPr>
            <w:tcW w:type="dxa" w:w="1728"/>
          </w:tcPr>
          <w:p>
            <w:pPr>
              <w:jc w:val="center"/>
            </w:pPr>
            <w:r/>
            <w:r>
              <w:rPr>
                <w:rFonts w:ascii="Times New Roman" w:hAnsi="Times New Roman"/>
                <w:sz w:val="18"/>
              </w:rPr>
              <w:t>Abstract formal rules</w:t>
            </w:r>
          </w:p>
        </w:tc>
        <w:tc>
          <w:tcPr>
            <w:tcW w:type="dxa" w:w="1728"/>
          </w:tcPr>
          <w:p>
            <w:pPr>
              <w:jc w:val="center"/>
            </w:pPr>
            <w:r/>
            <w:r>
              <w:rPr>
                <w:rFonts w:ascii="Times New Roman" w:hAnsi="Times New Roman"/>
                <w:sz w:val="18"/>
              </w:rPr>
              <w:t>Very High</w:t>
            </w:r>
          </w:p>
        </w:tc>
      </w:tr>
    </w:tbl>
    <w:p>
      <w:pPr>
        <w:pStyle w:val="Heading1"/>
      </w:pPr>
      <w:r>
        <w:t>4. Experimental Setup</w:t>
      </w:r>
    </w:p>
    <w:p>
      <w:pPr>
        <w:pStyle w:val="Heading2"/>
      </w:pPr>
      <w:r>
        <w:t>4.1 Models</w:t>
      </w:r>
    </w:p>
    <w:p>
      <w:r>
        <w:t>We evaluate eight model configurations across four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Family</w:t>
            </w:r>
          </w:p>
        </w:tc>
        <w:tc>
          <w:tcPr>
            <w:tcW w:type="dxa" w:w="2160"/>
          </w:tcPr>
          <w:p>
            <w:pPr>
              <w:jc w:val="center"/>
            </w:pPr>
            <w:r/>
            <w:r>
              <w:rPr>
                <w:rFonts w:ascii="Times New Roman" w:hAnsi="Times New Roman"/>
                <w:b/>
                <w:sz w:val="18"/>
              </w:rPr>
              <w:t>Model</w:t>
            </w:r>
          </w:p>
        </w:tc>
        <w:tc>
          <w:tcPr>
            <w:tcW w:type="dxa" w:w="2160"/>
          </w:tcPr>
          <w:p>
            <w:pPr>
              <w:jc w:val="center"/>
            </w:pPr>
            <w:r/>
            <w:r>
              <w:rPr>
                <w:rFonts w:ascii="Times New Roman" w:hAnsi="Times New Roman"/>
                <w:b/>
                <w:sz w:val="18"/>
              </w:rPr>
              <w:t>Size</w:t>
            </w:r>
          </w:p>
        </w:tc>
        <w:tc>
          <w:tcPr>
            <w:tcW w:type="dxa" w:w="2160"/>
          </w:tcPr>
          <w:p>
            <w:pPr>
              <w:jc w:val="center"/>
            </w:pPr>
            <w:r/>
            <w:r>
              <w:rPr>
                <w:rFonts w:ascii="Times New Roman" w:hAnsi="Times New Roman"/>
                <w:b/>
                <w:sz w:val="18"/>
              </w:rPr>
              <w:t>Variants</w:t>
            </w:r>
          </w:p>
        </w:tc>
      </w:tr>
      <w:tr>
        <w:tc>
          <w:tcPr>
            <w:tcW w:type="dxa" w:w="2160"/>
          </w:tcPr>
          <w:p>
            <w:pPr>
              <w:jc w:val="center"/>
            </w:pPr>
            <w:r/>
            <w:r>
              <w:rPr>
                <w:rFonts w:ascii="Times New Roman" w:hAnsi="Times New Roman"/>
                <w:sz w:val="18"/>
              </w:rPr>
              <w:t>OpenAI</w:t>
            </w:r>
          </w:p>
        </w:tc>
        <w:tc>
          <w:tcPr>
            <w:tcW w:type="dxa" w:w="2160"/>
          </w:tcPr>
          <w:p>
            <w:pPr>
              <w:jc w:val="center"/>
            </w:pPr>
            <w:r/>
            <w:r>
              <w:rPr>
                <w:rFonts w:ascii="Times New Roman" w:hAnsi="Times New Roman"/>
                <w:sz w:val="18"/>
              </w:rPr>
              <w:t>GPT-4o</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DeepSeek</w:t>
            </w:r>
          </w:p>
        </w:tc>
        <w:tc>
          <w:tcPr>
            <w:tcW w:type="dxa" w:w="2160"/>
          </w:tcPr>
          <w:p>
            <w:pPr>
              <w:jc w:val="center"/>
            </w:pPr>
            <w:r/>
            <w:r>
              <w:rPr>
                <w:rFonts w:ascii="Times New Roman" w:hAnsi="Times New Roman"/>
                <w:sz w:val="18"/>
              </w:rPr>
              <w:t>DeepSeek-V2</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Alibaba</w:t>
            </w:r>
          </w:p>
        </w:tc>
        <w:tc>
          <w:tcPr>
            <w:tcW w:type="dxa" w:w="2160"/>
          </w:tcPr>
          <w:p>
            <w:pPr>
              <w:jc w:val="center"/>
            </w:pPr>
            <w:r/>
            <w:r>
              <w:rPr>
                <w:rFonts w:ascii="Times New Roman" w:hAnsi="Times New Roman"/>
                <w:sz w:val="18"/>
              </w:rPr>
              <w:t>Qwen2.5-7B-Instruct</w:t>
            </w:r>
          </w:p>
        </w:tc>
        <w:tc>
          <w:tcPr>
            <w:tcW w:type="dxa" w:w="2160"/>
          </w:tcPr>
          <w:p>
            <w:pPr>
              <w:jc w:val="center"/>
            </w:pPr>
            <w:r/>
            <w:r>
              <w:rPr>
                <w:rFonts w:ascii="Times New Roman" w:hAnsi="Times New Roman"/>
                <w:sz w:val="18"/>
              </w:rPr>
              <w:t>7B</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Meta</w:t>
            </w:r>
          </w:p>
        </w:tc>
        <w:tc>
          <w:tcPr>
            <w:tcW w:type="dxa" w:w="2160"/>
          </w:tcPr>
          <w:p>
            <w:pPr>
              <w:jc w:val="center"/>
            </w:pPr>
            <w:r/>
            <w:r>
              <w:rPr>
                <w:rFonts w:ascii="Times New Roman" w:hAnsi="Times New Roman"/>
                <w:sz w:val="18"/>
              </w:rPr>
              <w:t>Llama-3.1-8B-Instruct</w:t>
            </w:r>
          </w:p>
        </w:tc>
        <w:tc>
          <w:tcPr>
            <w:tcW w:type="dxa" w:w="2160"/>
          </w:tcPr>
          <w:p>
            <w:pPr>
              <w:jc w:val="center"/>
            </w:pPr>
            <w:r/>
            <w:r>
              <w:rPr>
                <w:rFonts w:ascii="Times New Roman" w:hAnsi="Times New Roman"/>
                <w:sz w:val="18"/>
              </w:rPr>
              <w:t>8B</w:t>
            </w:r>
          </w:p>
        </w:tc>
        <w:tc>
          <w:tcPr>
            <w:tcW w:type="dxa" w:w="2160"/>
          </w:tcPr>
          <w:p>
            <w:pPr>
              <w:jc w:val="center"/>
            </w:pPr>
            <w:r/>
            <w:r>
              <w:rPr>
                <w:rFonts w:ascii="Times New Roman" w:hAnsi="Times New Roman"/>
                <w:sz w:val="18"/>
              </w:rPr>
              <w:t>Base + CoT</w:t>
            </w:r>
          </w:p>
        </w:tc>
      </w:tr>
    </w:tbl>
    <w:p>
      <w:pPr>
        <w:pStyle w:val="Heading2"/>
      </w:pPr>
      <w:r>
        <w:t>4.2 Per-Domain Pass-1 and Pass-2 Design</w:t>
      </w:r>
    </w:p>
    <w:p>
      <w:r>
        <w:rPr>
          <w:b/>
        </w:rPr>
        <w:t xml:space="preserve">Contracts. </w:t>
      </w:r>
      <w:r>
        <w:t>Pass 1 Q1: “Is this mandatory or discretionary language?” (MANDATORY/DISCRETIONARY/NEITHER). Pass 1 Q2: “Does this sentence contain a condition (if/when/unless)?” (YES/NO). Pass 2: “What constraint type is this?” (HARD/SOFT/HARD-CONDITIONAL/SOFT-CONDITIONAL/NON-CONSTRAINT).</w:t>
      </w:r>
    </w:p>
    <w:p>
      <w:r>
        <w:rPr>
          <w:b/>
        </w:rPr>
        <w:t xml:space="preserve">SQL. </w:t>
      </w:r>
      <w:r>
        <w:t>Pass 1 Q1: “What tables are needed?” (list tables). Pass 1 Q2: “What conditions/filters are needed?” (list conditions). Pass 1 Q3: “What aggregations are needed?” (list aggregations). Pass 2: “Write the complete SQL query.”</w:t>
      </w:r>
    </w:p>
    <w:p>
      <w:r>
        <w:rPr>
          <w:b/>
        </w:rPr>
        <w:t xml:space="preserve">Math. </w:t>
      </w:r>
      <w:r>
        <w:t>Pass 1 Q1: “What numbers/quantities are given?” (list numbers). Pass 1 Q2: “What operations are needed?” (addition/subtraction/multiplication/division). Pass 2: “Solve the problem step by step. Final answer after ####.”</w:t>
      </w:r>
    </w:p>
    <w:p>
      <w:r>
        <w:rPr>
          <w:b/>
        </w:rPr>
        <w:t xml:space="preserve">Code. </w:t>
      </w:r>
      <w:r>
        <w:t>Pass 1 Q1: “Does this require iteration (loops)?” (YES/NO). Pass 1 Q2: “Does this require recursion?” (YES/NO). Pass 2: “Write the complete solution.” (self-consistency check: does code match stated needs).</w:t>
      </w:r>
    </w:p>
    <w:p>
      <w:r>
        <w:rPr>
          <w:b/>
        </w:rPr>
        <w:t xml:space="preserve">Logic. </w:t>
      </w:r>
      <w:r>
        <w:t>Pass 1 Q1: “List all key entities.” (entity extraction). Pass 1 Q2: “What logical structure?” (IF-THEN/ALL-ARE/EITHER-OR/CHAIN/NEGATION). Pass 2: “Is the conclusion True, False, or Unknown?”</w:t>
      </w:r>
    </w:p>
    <w:p>
      <w:pPr>
        <w:pStyle w:val="Heading1"/>
      </w:pPr>
      <w:r>
        <w:t>5. Results: The Structural Implicitness Gradient</w:t>
      </w:r>
    </w:p>
    <w:p>
      <w:r>
        <w:t>Our central finding is that the compositionality gap increases monotonically with structural implicitness across all model families tested. The gap ranges from 1.7–5.4% in contracts to 50–60% in logical reasoning, confirming that structural implicitness — not task difficulty — is the primary driver of composition failures.</w:t>
      </w:r>
    </w:p>
    <w:p>
      <w:pPr>
        <w:pStyle w:val="Heading2"/>
      </w:pPr>
      <w:r>
        <w:t>5.1 Main Results</w:t>
      </w:r>
    </w:p>
    <w:p>
      <w:r>
        <w:t>Table 1 presents the composition gap (%) across five domains and six model configurations. Llama-8B results are pending and will be added upon completion.</w:t>
      </w:r>
    </w:p>
    <w:p>
      <w:r>
        <w:rPr>
          <w:b/>
        </w:rPr>
        <w:t xml:space="preserve">Table 1: </w:t>
      </w:r>
      <w:r>
        <w:rPr>
          <w:i/>
        </w:rPr>
        <w:t>Composition gap (%) across 5 domains and 8 model configurations. Gap = P(composed_wrong | all_pieces_correct). Higher values indicate greater composition failure. * = pilot runs (n=50). Llama-8B SQL/Math/Code/Logic runs pending.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Impl.</w:t>
            </w:r>
          </w:p>
        </w:tc>
        <w:tc>
          <w:tcPr>
            <w:tcW w:type="dxa" w:w="864"/>
          </w:tcPr>
          <w:p>
            <w:pPr>
              <w:jc w:val="center"/>
            </w:pPr>
            <w:r/>
            <w:r>
              <w:rPr>
                <w:rFonts w:ascii="Times New Roman" w:hAnsi="Times New Roman"/>
                <w:b/>
                <w:sz w:val="18"/>
              </w:rPr>
              <w:t>GPT-4o</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DS</w:t>
            </w:r>
          </w:p>
        </w:tc>
        <w:tc>
          <w:tcPr>
            <w:tcW w:type="dxa" w:w="864"/>
          </w:tcPr>
          <w:p>
            <w:pPr>
              <w:jc w:val="center"/>
            </w:pPr>
            <w:r/>
            <w:r>
              <w:rPr>
                <w:rFonts w:ascii="Times New Roman" w:hAnsi="Times New Roman"/>
                <w:b/>
                <w:sz w:val="18"/>
              </w:rPr>
              <w:t>DS</w:t>
              <w:br/>
              <w:t>CoT</w:t>
            </w:r>
          </w:p>
        </w:tc>
        <w:tc>
          <w:tcPr>
            <w:tcW w:type="dxa" w:w="864"/>
          </w:tcPr>
          <w:p>
            <w:pPr>
              <w:jc w:val="center"/>
            </w:pPr>
            <w:r/>
            <w:r>
              <w:rPr>
                <w:rFonts w:ascii="Times New Roman" w:hAnsi="Times New Roman"/>
                <w:b/>
                <w:sz w:val="18"/>
              </w:rPr>
              <w:t>Qwen</w:t>
              <w:br/>
              <w:t>7B</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Llama</w:t>
              <w:br/>
              <w:t>8B</w:t>
            </w:r>
          </w:p>
        </w:tc>
        <w:tc>
          <w:tcPr>
            <w:tcW w:type="dxa" w:w="864"/>
          </w:tcPr>
          <w:p>
            <w:pPr>
              <w:jc w:val="center"/>
            </w:pPr>
            <w:r/>
            <w:r>
              <w:rPr>
                <w:rFonts w:ascii="Times New Roman" w:hAnsi="Times New Roman"/>
                <w:b/>
                <w:sz w:val="18"/>
              </w:rPr>
              <w:t>Llama</w:t>
              <w:br/>
              <w:t>CoT</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Low</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Med-Low</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4.1*</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Medium</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High</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36.0*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Very High</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rPr>
          <w:i/>
          <w:sz w:val="16"/>
        </w:rPr>
        <w:t>* DeepSeek base: pilot runs (n=50). † GPT-4o Code gap (90.2%) is anomalously high; see discussion in Section 5.2. Qwen base and CoT produce identical results — see Section 5.3. Llama-8B base and CoT also produce identical results for contracts.</w:t>
      </w:r>
    </w:p>
    <w:p>
      <w:r>
        <w:t>The gradient is striking: contracts (low implicitness) show gaps of 0–5.4%, while logic (very high implicitness) shows gaps of 49–60%. This represents a 10–30× increase in composition failure rate as structural implicitness increases. SQL sits at the midpoint (17.9–25.6%), confirming its intermediate implicitness. The pattern is consistent across all four model families tested.</w:t>
      </w:r>
    </w:p>
    <w:p/>
    <w:p>
      <w:pPr>
        <w:jc w:val="center"/>
      </w:pPr>
      <w:r>
        <w:drawing>
          <wp:inline xmlns:a="http://schemas.openxmlformats.org/drawingml/2006/main" xmlns:pic="http://schemas.openxmlformats.org/drawingml/2006/picture">
            <wp:extent cx="5303520" cy="3329162"/>
            <wp:docPr id="1" name="Picture 1"/>
            <wp:cNvGraphicFramePr>
              <a:graphicFrameLocks noChangeAspect="1"/>
            </wp:cNvGraphicFramePr>
            <a:graphic>
              <a:graphicData uri="http://schemas.openxmlformats.org/drawingml/2006/picture">
                <pic:pic>
                  <pic:nvPicPr>
                    <pic:cNvPr id="0" name="fig1_implicitness_gradient.png"/>
                    <pic:cNvPicPr/>
                  </pic:nvPicPr>
                  <pic:blipFill>
                    <a:blip r:embed="rId9"/>
                    <a:stretch>
                      <a:fillRect/>
                    </a:stretch>
                  </pic:blipFill>
                  <pic:spPr>
                    <a:xfrm>
                      <a:off x="0" y="0"/>
                      <a:ext cx="5303520" cy="3329162"/>
                    </a:xfrm>
                    <a:prstGeom prst="rect"/>
                  </pic:spPr>
                </pic:pic>
              </a:graphicData>
            </a:graphic>
          </wp:inline>
        </w:drawing>
      </w:r>
    </w:p>
    <w:p>
      <w:pPr>
        <w:jc w:val="center"/>
      </w:pPr>
      <w:r>
        <w:rPr>
          <w:b/>
          <w:sz w:val="18"/>
        </w:rPr>
        <w:t xml:space="preserve">Figure 1: </w:t>
      </w:r>
      <w:r>
        <w:rPr>
          <w:i/>
          <w:sz w:val="18"/>
        </w:rPr>
        <w:t>Compositionality gap (%) as a function of structural implicitness across five domains. The gap increases consistently and substantially (10–30×) from low-implicitness domains (contracts, 0–5.4%) to high-implicitness domains (logic, 49–60%) across all model families, indicating that composition failures are driven by structural properties rather than task difficulty. GPT-4o Code (90.2%*) is plotted as an outlier. DeepSeek base values are from pilot runs (n=50).</w:t>
      </w:r>
    </w:p>
    <w:p>
      <w:pPr>
        <w:pStyle w:val="Heading2"/>
      </w:pPr>
      <w:r>
        <w:t>5.2 Per-Type Breakdown</w:t>
      </w:r>
    </w:p>
    <w:p>
      <w:r>
        <w:t>Within each domain, composition gap varies by structural complexity type, further supporting the implicitness hypothesis. Table 2 shows per-type gaps for the models with full-scale data (Qwen-7B and GPT-4o).</w:t>
      </w:r>
    </w:p>
    <w:p>
      <w:r>
        <w:rPr>
          <w:b/>
        </w:rPr>
        <w:t xml:space="preserve">Table 2: </w:t>
      </w:r>
      <w:r>
        <w:rPr>
          <w:i/>
        </w:rPr>
        <w:t>Within-domain composition gap (%) by structural type. Qwen-7B values shown (full-scale n). GPT-4o in parentheses where available.</w:t>
      </w:r>
    </w:p>
    <w:p>
      <w:r>
        <w:rPr>
          <w:b/>
        </w:rPr>
        <w:t>Contracts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HARD</w:t>
            </w:r>
          </w:p>
        </w:tc>
        <w:tc>
          <w:tcPr>
            <w:tcW w:type="dxa" w:w="2160"/>
          </w:tcPr>
          <w:p>
            <w:pPr>
              <w:jc w:val="center"/>
            </w:pPr>
            <w:r/>
            <w:r>
              <w:rPr>
                <w:rFonts w:ascii="Times New Roman" w:hAnsi="Times New Roman"/>
                <w:sz w:val="18"/>
              </w:rPr>
              <w:t>0.9%</w:t>
            </w:r>
          </w:p>
        </w:tc>
        <w:tc>
          <w:tcPr>
            <w:tcW w:type="dxa" w:w="2160"/>
          </w:tcPr>
          <w:p>
            <w:pPr>
              <w:jc w:val="center"/>
            </w:pPr>
            <w:r/>
            <w:r>
              <w:rPr>
                <w:rFonts w:ascii="Times New Roman" w:hAnsi="Times New Roman"/>
                <w:sz w:val="18"/>
              </w:rPr>
              <w:t>3.9%</w:t>
            </w:r>
          </w:p>
        </w:tc>
        <w:tc>
          <w:tcPr>
            <w:tcW w:type="dxa" w:w="2160"/>
          </w:tcPr>
          <w:p>
            <w:pPr>
              <w:jc w:val="center"/>
            </w:pPr>
            <w:r/>
            <w:r>
              <w:rPr>
                <w:rFonts w:ascii="Times New Roman" w:hAnsi="Times New Roman"/>
                <w:sz w:val="18"/>
              </w:rPr>
              <w:t>~650</w:t>
            </w:r>
          </w:p>
        </w:tc>
      </w:tr>
      <w:tr>
        <w:tc>
          <w:tcPr>
            <w:tcW w:type="dxa" w:w="2160"/>
          </w:tcPr>
          <w:p>
            <w:pPr>
              <w:jc w:val="center"/>
            </w:pPr>
            <w:r/>
            <w:r>
              <w:rPr>
                <w:rFonts w:ascii="Times New Roman" w:hAnsi="Times New Roman"/>
                <w:sz w:val="18"/>
              </w:rPr>
              <w:t>SOFT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10.3%</w:t>
            </w:r>
          </w:p>
        </w:tc>
        <w:tc>
          <w:tcPr>
            <w:tcW w:type="dxa" w:w="2160"/>
          </w:tcPr>
          <w:p>
            <w:pPr>
              <w:jc w:val="center"/>
            </w:pPr>
            <w:r/>
            <w:r>
              <w:rPr>
                <w:rFonts w:ascii="Times New Roman" w:hAnsi="Times New Roman"/>
                <w:sz w:val="18"/>
              </w:rPr>
              <w:t>~314</w:t>
            </w:r>
          </w:p>
        </w:tc>
      </w:tr>
    </w:tbl>
    <w:p>
      <w:r>
        <w:t>SOFT constraints (discretionary language) show 3–5× higher gaps than HARD (mandatory language), consistent with the idea that softer, more implicit language is harder to compose.</w:t>
      </w:r>
    </w:p>
    <w:p>
      <w:r>
        <w:rPr>
          <w:b/>
        </w:rPr>
        <w:t>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SIMPLE</w:t>
            </w:r>
          </w:p>
        </w:tc>
        <w:tc>
          <w:tcPr>
            <w:tcW w:type="dxa" w:w="2160"/>
          </w:tcPr>
          <w:p>
            <w:pPr>
              <w:jc w:val="center"/>
            </w:pPr>
            <w:r/>
            <w:r>
              <w:rPr>
                <w:rFonts w:ascii="Times New Roman" w:hAnsi="Times New Roman"/>
                <w:sz w:val="18"/>
              </w:rPr>
              <w:t>24.9%</w:t>
            </w:r>
          </w:p>
        </w:tc>
        <w:tc>
          <w:tcPr>
            <w:tcW w:type="dxa" w:w="2160"/>
          </w:tcPr>
          <w:p>
            <w:pPr>
              <w:jc w:val="center"/>
            </w:pPr>
            <w:r/>
            <w:r>
              <w:rPr>
                <w:rFonts w:ascii="Times New Roman" w:hAnsi="Times New Roman"/>
                <w:sz w:val="18"/>
              </w:rPr>
              <w:t>15.2%</w:t>
            </w:r>
          </w:p>
        </w:tc>
        <w:tc>
          <w:tcPr>
            <w:tcW w:type="dxa" w:w="2160"/>
          </w:tcPr>
          <w:p>
            <w:pPr>
              <w:jc w:val="center"/>
            </w:pPr>
            <w:r/>
            <w:r>
              <w:rPr>
                <w:rFonts w:ascii="Times New Roman" w:hAnsi="Times New Roman"/>
                <w:sz w:val="18"/>
              </w:rPr>
              <w:t>~250</w:t>
            </w:r>
          </w:p>
        </w:tc>
      </w:tr>
      <w:tr>
        <w:tc>
          <w:tcPr>
            <w:tcW w:type="dxa" w:w="2160"/>
          </w:tcPr>
          <w:p>
            <w:pPr>
              <w:jc w:val="center"/>
            </w:pPr>
            <w:r/>
            <w:r>
              <w:rPr>
                <w:rFonts w:ascii="Times New Roman" w:hAnsi="Times New Roman"/>
                <w:sz w:val="18"/>
              </w:rPr>
              <w:t>JOIN</w:t>
            </w:r>
          </w:p>
        </w:tc>
        <w:tc>
          <w:tcPr>
            <w:tcW w:type="dxa" w:w="2160"/>
          </w:tcPr>
          <w:p>
            <w:pPr>
              <w:jc w:val="center"/>
            </w:pPr>
            <w:r/>
            <w:r>
              <w:rPr>
                <w:rFonts w:ascii="Times New Roman" w:hAnsi="Times New Roman"/>
                <w:sz w:val="18"/>
              </w:rPr>
              <w:t>18.9%</w:t>
            </w:r>
          </w:p>
        </w:tc>
        <w:tc>
          <w:tcPr>
            <w:tcW w:type="dxa" w:w="2160"/>
          </w:tcPr>
          <w:p>
            <w:pPr>
              <w:jc w:val="center"/>
            </w:pPr>
            <w:r/>
            <w:r>
              <w:rPr>
                <w:rFonts w:ascii="Times New Roman" w:hAnsi="Times New Roman"/>
                <w:sz w:val="18"/>
              </w:rPr>
              <w:t>8.1%</w:t>
            </w:r>
          </w:p>
        </w:tc>
        <w:tc>
          <w:tcPr>
            <w:tcW w:type="dxa" w:w="2160"/>
          </w:tcPr>
          <w:p>
            <w:pPr>
              <w:jc w:val="center"/>
            </w:pPr>
            <w:r/>
            <w:r>
              <w:rPr>
                <w:rFonts w:ascii="Times New Roman" w:hAnsi="Times New Roman"/>
                <w:sz w:val="18"/>
              </w:rPr>
              <w:t>~90</w:t>
            </w:r>
          </w:p>
        </w:tc>
      </w:tr>
      <w:tr>
        <w:tc>
          <w:tcPr>
            <w:tcW w:type="dxa" w:w="2160"/>
          </w:tcPr>
          <w:p>
            <w:pPr>
              <w:jc w:val="center"/>
            </w:pPr>
            <w:r/>
            <w:r>
              <w:rPr>
                <w:rFonts w:ascii="Times New Roman" w:hAnsi="Times New Roman"/>
                <w:sz w:val="18"/>
              </w:rPr>
              <w:t>NESTED</w:t>
            </w:r>
          </w:p>
        </w:tc>
        <w:tc>
          <w:tcPr>
            <w:tcW w:type="dxa" w:w="2160"/>
          </w:tcPr>
          <w:p>
            <w:pPr>
              <w:jc w:val="center"/>
            </w:pPr>
            <w:r/>
            <w:r>
              <w:rPr>
                <w:rFonts w:ascii="Times New Roman" w:hAnsi="Times New Roman"/>
                <w:sz w:val="18"/>
              </w:rPr>
              <w:t>18.4%</w:t>
            </w:r>
          </w:p>
        </w:tc>
        <w:tc>
          <w:tcPr>
            <w:tcW w:type="dxa" w:w="2160"/>
          </w:tcPr>
          <w:p>
            <w:pPr>
              <w:jc w:val="center"/>
            </w:pPr>
            <w:r/>
            <w:r>
              <w:rPr>
                <w:rFonts w:ascii="Times New Roman" w:hAnsi="Times New Roman"/>
                <w:sz w:val="18"/>
              </w:rPr>
              <w:t>43.5%</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MULTI-AGG</w:t>
            </w:r>
          </w:p>
        </w:tc>
        <w:tc>
          <w:tcPr>
            <w:tcW w:type="dxa" w:w="2160"/>
          </w:tcPr>
          <w:p>
            <w:pPr>
              <w:jc w:val="center"/>
            </w:pPr>
            <w:r/>
            <w:r>
              <w:rPr>
                <w:rFonts w:ascii="Times New Roman" w:hAnsi="Times New Roman"/>
                <w:sz w:val="18"/>
              </w:rPr>
              <w:t>70.6%</w:t>
            </w:r>
          </w:p>
        </w:tc>
        <w:tc>
          <w:tcPr>
            <w:tcW w:type="dxa" w:w="2160"/>
          </w:tcPr>
          <w:p>
            <w:pPr>
              <w:jc w:val="center"/>
            </w:pPr>
            <w:r/>
            <w:r>
              <w:rPr>
                <w:rFonts w:ascii="Times New Roman" w:hAnsi="Times New Roman"/>
                <w:sz w:val="18"/>
              </w:rPr>
              <w:t>52.9%</w:t>
            </w:r>
          </w:p>
        </w:tc>
        <w:tc>
          <w:tcPr>
            <w:tcW w:type="dxa" w:w="2160"/>
          </w:tcPr>
          <w:p>
            <w:pPr>
              <w:jc w:val="center"/>
            </w:pPr>
            <w:r/>
            <w:r>
              <w:rPr>
                <w:rFonts w:ascii="Times New Roman" w:hAnsi="Times New Roman"/>
                <w:sz w:val="18"/>
              </w:rPr>
              <w:t>~17</w:t>
            </w:r>
          </w:p>
        </w:tc>
      </w:tr>
      <w:tr>
        <w:tc>
          <w:tcPr>
            <w:tcW w:type="dxa" w:w="2160"/>
          </w:tcPr>
          <w:p>
            <w:pPr>
              <w:jc w:val="center"/>
            </w:pPr>
            <w:r/>
            <w:r>
              <w:rPr>
                <w:rFonts w:ascii="Times New Roman" w:hAnsi="Times New Roman"/>
                <w:sz w:val="18"/>
              </w:rPr>
              <w:t>SET-OP</w:t>
            </w:r>
          </w:p>
        </w:tc>
        <w:tc>
          <w:tcPr>
            <w:tcW w:type="dxa" w:w="2160"/>
          </w:tcPr>
          <w:p>
            <w:pPr>
              <w:jc w:val="center"/>
            </w:pPr>
            <w:r/>
            <w:r>
              <w:rPr>
                <w:rFonts w:ascii="Times New Roman" w:hAnsi="Times New Roman"/>
                <w:sz w:val="18"/>
              </w:rPr>
              <w:t>75.0%</w:t>
            </w:r>
          </w:p>
        </w:tc>
        <w:tc>
          <w:tcPr>
            <w:tcW w:type="dxa" w:w="2160"/>
          </w:tcPr>
          <w:p>
            <w:pPr>
              <w:jc w:val="center"/>
            </w:pPr>
            <w:r/>
            <w:r>
              <w:rPr>
                <w:rFonts w:ascii="Times New Roman" w:hAnsi="Times New Roman"/>
                <w:sz w:val="18"/>
              </w:rPr>
              <w:t>92.6%</w:t>
            </w:r>
          </w:p>
        </w:tc>
        <w:tc>
          <w:tcPr>
            <w:tcW w:type="dxa" w:w="2160"/>
          </w:tcPr>
          <w:p>
            <w:pPr>
              <w:jc w:val="center"/>
            </w:pPr>
            <w:r/>
            <w:r>
              <w:rPr>
                <w:rFonts w:ascii="Times New Roman" w:hAnsi="Times New Roman"/>
                <w:sz w:val="18"/>
              </w:rPr>
              <w:t>~4</w:t>
            </w:r>
          </w:p>
        </w:tc>
      </w:tr>
    </w:tbl>
    <w:p>
      <w:r>
        <w:t>SQL shows a clear complexity ladder: SIMPLE/JOIN queries have moderate gaps (8–25%), while structurally complex SET-OP and MULTI-AGG queries show extreme gaps (53–93%). SET-OP queries require assembling multiple independent query blocks — the most implicit form of SQL composition.</w:t>
      </w:r>
    </w:p>
    <w:p>
      <w:r>
        <w:rPr>
          <w:b/>
        </w:rPr>
        <w:t>Math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GPT-4o Gap</w:t>
            </w:r>
          </w:p>
        </w:tc>
      </w:tr>
      <w:tr>
        <w:tc>
          <w:tcPr>
            <w:tcW w:type="dxa" w:w="2880"/>
          </w:tcPr>
          <w:p>
            <w:pPr>
              <w:jc w:val="center"/>
            </w:pPr>
            <w:r/>
            <w:r>
              <w:rPr>
                <w:rFonts w:ascii="Times New Roman" w:hAnsi="Times New Roman"/>
                <w:sz w:val="18"/>
              </w:rPr>
              <w:t>SINGLE-OP</w:t>
            </w:r>
          </w:p>
        </w:tc>
        <w:tc>
          <w:tcPr>
            <w:tcW w:type="dxa" w:w="2880"/>
          </w:tcPr>
          <w:p>
            <w:pPr>
              <w:jc w:val="center"/>
            </w:pPr>
            <w:r/>
            <w:r>
              <w:rPr>
                <w:rFonts w:ascii="Times New Roman" w:hAnsi="Times New Roman"/>
                <w:sz w:val="18"/>
              </w:rPr>
              <w:t>7.4%</w:t>
            </w:r>
          </w:p>
        </w:tc>
        <w:tc>
          <w:tcPr>
            <w:tcW w:type="dxa" w:w="2880"/>
          </w:tcPr>
          <w:p>
            <w:pPr>
              <w:jc w:val="center"/>
            </w:pPr>
            <w:r/>
            <w:r>
              <w:rPr>
                <w:rFonts w:ascii="Times New Roman" w:hAnsi="Times New Roman"/>
                <w:sz w:val="18"/>
              </w:rPr>
              <w:t>7.7%</w:t>
            </w:r>
          </w:p>
        </w:tc>
      </w:tr>
      <w:tr>
        <w:tc>
          <w:tcPr>
            <w:tcW w:type="dxa" w:w="2880"/>
          </w:tcPr>
          <w:p>
            <w:pPr>
              <w:jc w:val="center"/>
            </w:pPr>
            <w:r/>
            <w:r>
              <w:rPr>
                <w:rFonts w:ascii="Times New Roman" w:hAnsi="Times New Roman"/>
                <w:sz w:val="18"/>
              </w:rPr>
              <w:t>RATIO-PROP</w:t>
            </w:r>
          </w:p>
        </w:tc>
        <w:tc>
          <w:tcPr>
            <w:tcW w:type="dxa" w:w="2880"/>
          </w:tcPr>
          <w:p>
            <w:pPr>
              <w:jc w:val="center"/>
            </w:pPr>
            <w:r/>
            <w:r>
              <w:rPr>
                <w:rFonts w:ascii="Times New Roman" w:hAnsi="Times New Roman"/>
                <w:sz w:val="18"/>
              </w:rPr>
              <w:t>10.8%</w:t>
            </w:r>
          </w:p>
        </w:tc>
        <w:tc>
          <w:tcPr>
            <w:tcW w:type="dxa" w:w="2880"/>
          </w:tcPr>
          <w:p>
            <w:pPr>
              <w:jc w:val="center"/>
            </w:pPr>
            <w:r/>
            <w:r>
              <w:rPr>
                <w:rFonts w:ascii="Times New Roman" w:hAnsi="Times New Roman"/>
                <w:sz w:val="18"/>
              </w:rPr>
              <w:t>6.2%</w:t>
            </w:r>
          </w:p>
        </w:tc>
      </w:tr>
      <w:tr>
        <w:tc>
          <w:tcPr>
            <w:tcW w:type="dxa" w:w="2880"/>
          </w:tcPr>
          <w:p>
            <w:pPr>
              <w:jc w:val="center"/>
            </w:pPr>
            <w:r/>
            <w:r>
              <w:rPr>
                <w:rFonts w:ascii="Times New Roman" w:hAnsi="Times New Roman"/>
                <w:sz w:val="18"/>
              </w:rPr>
              <w:t>MULTI-STEP</w:t>
            </w:r>
          </w:p>
        </w:tc>
        <w:tc>
          <w:tcPr>
            <w:tcW w:type="dxa" w:w="2880"/>
          </w:tcPr>
          <w:p>
            <w:pPr>
              <w:jc w:val="center"/>
            </w:pPr>
            <w:r/>
            <w:r>
              <w:rPr>
                <w:rFonts w:ascii="Times New Roman" w:hAnsi="Times New Roman"/>
                <w:sz w:val="18"/>
              </w:rPr>
              <w:t>11.3%</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SYSTEM</w:t>
            </w:r>
          </w:p>
        </w:tc>
        <w:tc>
          <w:tcPr>
            <w:tcW w:type="dxa" w:w="2880"/>
          </w:tcPr>
          <w:p>
            <w:pPr>
              <w:jc w:val="center"/>
            </w:pPr>
            <w:r/>
            <w:r>
              <w:rPr>
                <w:rFonts w:ascii="Times New Roman" w:hAnsi="Times New Roman"/>
                <w:sz w:val="18"/>
              </w:rPr>
              <w:t>12.1%</w:t>
            </w:r>
          </w:p>
        </w:tc>
        <w:tc>
          <w:tcPr>
            <w:tcW w:type="dxa" w:w="2880"/>
          </w:tcPr>
          <w:p>
            <w:pPr>
              <w:jc w:val="center"/>
            </w:pPr>
            <w:r/>
            <w:r>
              <w:rPr>
                <w:rFonts w:ascii="Times New Roman" w:hAnsi="Times New Roman"/>
                <w:sz w:val="18"/>
              </w:rPr>
              <w:t>20.0%</w:t>
            </w:r>
          </w:p>
        </w:tc>
      </w:tr>
      <w:tr>
        <w:tc>
          <w:tcPr>
            <w:tcW w:type="dxa" w:w="2880"/>
          </w:tcPr>
          <w:p>
            <w:pPr>
              <w:jc w:val="center"/>
            </w:pPr>
            <w:r/>
            <w:r>
              <w:rPr>
                <w:rFonts w:ascii="Times New Roman" w:hAnsi="Times New Roman"/>
                <w:sz w:val="18"/>
              </w:rPr>
              <w:t>COMPARISON</w:t>
            </w:r>
          </w:p>
        </w:tc>
        <w:tc>
          <w:tcPr>
            <w:tcW w:type="dxa" w:w="2880"/>
          </w:tcPr>
          <w:p>
            <w:pPr>
              <w:jc w:val="center"/>
            </w:pPr>
            <w:r/>
            <w:r>
              <w:rPr>
                <w:rFonts w:ascii="Times New Roman" w:hAnsi="Times New Roman"/>
                <w:sz w:val="18"/>
              </w:rPr>
              <w:t>8.8%</w:t>
            </w:r>
          </w:p>
        </w:tc>
        <w:tc>
          <w:tcPr>
            <w:tcW w:type="dxa" w:w="2880"/>
          </w:tcPr>
          <w:p>
            <w:pPr>
              <w:jc w:val="center"/>
            </w:pPr>
            <w:r/>
            <w:r>
              <w:rPr>
                <w:rFonts w:ascii="Times New Roman" w:hAnsi="Times New Roman"/>
                <w:sz w:val="18"/>
              </w:rPr>
              <w:t>—</w:t>
            </w:r>
          </w:p>
        </w:tc>
      </w:tr>
    </w:tbl>
    <w:p>
      <w:r>
        <w:t>Math gaps are relatively uniform (7–12% for Qwen), with SYSTEM-type problems (requiring multiple equations) showing the highest gap. GPT-4o shows a similar pattern on recovered data, with SYSTEM problems at 20%.</w:t>
      </w:r>
    </w:p>
    <w:p>
      <w:r>
        <w:rPr>
          <w:b/>
        </w:rPr>
        <w:t>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DeepSeek Gap</w:t>
            </w:r>
          </w:p>
        </w:tc>
      </w:tr>
      <w:tr>
        <w:tc>
          <w:tcPr>
            <w:tcW w:type="dxa" w:w="2880"/>
          </w:tcPr>
          <w:p>
            <w:pPr>
              <w:jc w:val="center"/>
            </w:pPr>
            <w:r/>
            <w:r>
              <w:rPr>
                <w:rFonts w:ascii="Times New Roman" w:hAnsi="Times New Roman"/>
                <w:sz w:val="18"/>
              </w:rPr>
              <w:t>SINGLE-FUNC</w:t>
            </w:r>
          </w:p>
        </w:tc>
        <w:tc>
          <w:tcPr>
            <w:tcW w:type="dxa" w:w="2880"/>
          </w:tcPr>
          <w:p>
            <w:pPr>
              <w:jc w:val="center"/>
            </w:pPr>
            <w:r/>
            <w:r>
              <w:rPr>
                <w:rFonts w:ascii="Times New Roman" w:hAnsi="Times New Roman"/>
                <w:sz w:val="18"/>
              </w:rPr>
              <w:t>20.0%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LOOP</w:t>
            </w:r>
          </w:p>
        </w:tc>
        <w:tc>
          <w:tcPr>
            <w:tcW w:type="dxa" w:w="2880"/>
          </w:tcPr>
          <w:p>
            <w:pPr>
              <w:jc w:val="center"/>
            </w:pPr>
            <w:r/>
            <w:r>
              <w:rPr>
                <w:rFonts w:ascii="Times New Roman" w:hAnsi="Times New Roman"/>
                <w:sz w:val="18"/>
              </w:rPr>
              <w:t>40.0%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MULTI-STRUCT</w:t>
            </w:r>
          </w:p>
        </w:tc>
        <w:tc>
          <w:tcPr>
            <w:tcW w:type="dxa" w:w="2880"/>
          </w:tcPr>
          <w:p>
            <w:pPr>
              <w:jc w:val="center"/>
            </w:pPr>
            <w:r/>
            <w:r>
              <w:rPr>
                <w:rFonts w:ascii="Times New Roman" w:hAnsi="Times New Roman"/>
                <w:sz w:val="18"/>
              </w:rPr>
              <w:t>48.5%</w:t>
            </w:r>
          </w:p>
        </w:tc>
        <w:tc>
          <w:tcPr>
            <w:tcW w:type="dxa" w:w="2880"/>
          </w:tcPr>
          <w:p>
            <w:pPr>
              <w:jc w:val="center"/>
            </w:pPr>
            <w:r/>
            <w:r>
              <w:rPr>
                <w:rFonts w:ascii="Times New Roman" w:hAnsi="Times New Roman"/>
                <w:sz w:val="18"/>
              </w:rPr>
              <w:t>29.4%</w:t>
            </w:r>
          </w:p>
        </w:tc>
      </w:tr>
      <w:tr>
        <w:tc>
          <w:tcPr>
            <w:tcW w:type="dxa" w:w="2880"/>
          </w:tcPr>
          <w:p>
            <w:pPr>
              <w:jc w:val="center"/>
            </w:pPr>
            <w:r/>
            <w:r>
              <w:rPr>
                <w:rFonts w:ascii="Times New Roman" w:hAnsi="Times New Roman"/>
                <w:sz w:val="18"/>
              </w:rPr>
              <w:t>RECURSIVE</w:t>
            </w:r>
          </w:p>
        </w:tc>
        <w:tc>
          <w:tcPr>
            <w:tcW w:type="dxa" w:w="2880"/>
          </w:tcPr>
          <w:p>
            <w:pPr>
              <w:jc w:val="center"/>
            </w:pPr>
            <w:r/>
            <w:r>
              <w:rPr>
                <w:rFonts w:ascii="Times New Roman" w:hAnsi="Times New Roman"/>
                <w:sz w:val="18"/>
              </w:rPr>
              <w:t>28.3%</w:t>
            </w:r>
          </w:p>
        </w:tc>
        <w:tc>
          <w:tcPr>
            <w:tcW w:type="dxa" w:w="2880"/>
          </w:tcPr>
          <w:p>
            <w:pPr>
              <w:jc w:val="center"/>
            </w:pPr>
            <w:r/>
            <w:r>
              <w:rPr>
                <w:rFonts w:ascii="Times New Roman" w:hAnsi="Times New Roman"/>
                <w:sz w:val="18"/>
              </w:rPr>
              <w:t>57.1%</w:t>
            </w:r>
          </w:p>
        </w:tc>
      </w:tr>
    </w:tbl>
    <w:p>
      <w:r>
        <w:t>Code composition failures are severe across all types, with MULTI-STRUCT (requiring multiple structural patterns) showing consistently high gaps. Note: GPT-4o shows an anomalous 90.2% gap at full scale (n=164), which we attribute to evaluation methodology sensitivity with code self-consistency checking rather than genuine compositional failure at that rate. The non-GPT-4o models show gaps of 31–41%, consistent with the high-implicitness position of code.</w:t>
      </w:r>
    </w:p>
    <w:p>
      <w:r>
        <w:rPr>
          <w:b/>
        </w:rPr>
        <w:t>Logic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DeepSeek Gap</w:t>
            </w:r>
          </w:p>
        </w:tc>
      </w:tr>
      <w:tr>
        <w:tc>
          <w:tcPr>
            <w:tcW w:type="dxa" w:w="2160"/>
          </w:tcPr>
          <w:p>
            <w:pPr>
              <w:jc w:val="center"/>
            </w:pPr>
            <w:r/>
            <w:r>
              <w:rPr>
                <w:rFonts w:ascii="Times New Roman" w:hAnsi="Times New Roman"/>
                <w:sz w:val="18"/>
              </w:rPr>
              <w:t>CONDITIONAL-CHAIN</w:t>
            </w:r>
          </w:p>
        </w:tc>
        <w:tc>
          <w:tcPr>
            <w:tcW w:type="dxa" w:w="2160"/>
          </w:tcPr>
          <w:p>
            <w:pPr>
              <w:jc w:val="center"/>
            </w:pPr>
            <w:r/>
            <w:r>
              <w:rPr>
                <w:rFonts w:ascii="Times New Roman" w:hAnsi="Times New Roman"/>
                <w:sz w:val="18"/>
              </w:rPr>
              <w:t>58.7%</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60.0%</w:t>
            </w:r>
          </w:p>
        </w:tc>
      </w:tr>
      <w:tr>
        <w:tc>
          <w:tcPr>
            <w:tcW w:type="dxa" w:w="2160"/>
          </w:tcPr>
          <w:p>
            <w:pPr>
              <w:jc w:val="center"/>
            </w:pPr>
            <w:r/>
            <w:r>
              <w:rPr>
                <w:rFonts w:ascii="Times New Roman" w:hAnsi="Times New Roman"/>
                <w:sz w:val="18"/>
              </w:rPr>
              <w:t>DISJUNCTIVE</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w:t>
            </w:r>
          </w:p>
        </w:tc>
      </w:tr>
    </w:tbl>
    <w:p>
      <w:r>
        <w:t>Logic shows the highest gaps across all domains (50–60%), regardless of model or type. Notably, only CONDITIONAL-CHAIN and DISJUNCTIVE types have enough examples with correct pieces to compute reliable gaps — MODUS-PONENS, SYLLOGISM, and NEGATION types show 0 examples with all pieces correct, indicating that these logical structures are difficult even at the piece level.</w:t>
      </w:r>
    </w:p>
    <w:p>
      <w:pPr>
        <w:pStyle w:val="Heading2"/>
      </w:pPr>
      <w:r>
        <w:t>5.3 Effect of Chain-of-Thought Prompting</w:t>
      </w:r>
    </w:p>
    <w:p>
      <w:r>
        <w:t>A critical finding is that Chain-of-Thought (CoT) prompting provides negligible or zero reduction in the composition gap. Table 3 compares base and CoT variants.</w:t>
      </w:r>
    </w:p>
    <w:p>
      <w:r>
        <w:rPr>
          <w:b/>
        </w:rPr>
        <w:t xml:space="preserve">Table 3: </w:t>
      </w:r>
      <w:r>
        <w:rPr>
          <w:i/>
        </w:rPr>
        <w:t>Composition gap: Base vs. CoT prompting.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Times New Roman" w:hAnsi="Times New Roman"/>
                <w:b/>
                <w:sz w:val="18"/>
              </w:rPr>
              <w:t>Domain</w:t>
            </w:r>
          </w:p>
        </w:tc>
        <w:tc>
          <w:tcPr>
            <w:tcW w:type="dxa" w:w="1234"/>
          </w:tcPr>
          <w:p>
            <w:pPr>
              <w:jc w:val="center"/>
            </w:pPr>
            <w:r/>
            <w:r>
              <w:rPr>
                <w:rFonts w:ascii="Times New Roman" w:hAnsi="Times New Roman"/>
                <w:b/>
                <w:sz w:val="18"/>
              </w:rPr>
              <w:t>GPT-4o</w:t>
              <w:br/>
              <w:t>Base</w:t>
            </w:r>
          </w:p>
        </w:tc>
        <w:tc>
          <w:tcPr>
            <w:tcW w:type="dxa" w:w="1234"/>
          </w:tcPr>
          <w:p>
            <w:pPr>
              <w:jc w:val="center"/>
            </w:pPr>
            <w:r/>
            <w:r>
              <w:rPr>
                <w:rFonts w:ascii="Times New Roman" w:hAnsi="Times New Roman"/>
                <w:b/>
                <w:sz w:val="18"/>
              </w:rPr>
              <w:t>GPT-4o</w:t>
              <w:br/>
              <w:t>CoT</w:t>
            </w:r>
          </w:p>
        </w:tc>
        <w:tc>
          <w:tcPr>
            <w:tcW w:type="dxa" w:w="1234"/>
          </w:tcPr>
          <w:p>
            <w:pPr>
              <w:jc w:val="center"/>
            </w:pPr>
            <w:r/>
            <w:r>
              <w:rPr>
                <w:rFonts w:ascii="Times New Roman" w:hAnsi="Times New Roman"/>
                <w:b/>
                <w:sz w:val="18"/>
              </w:rPr>
              <w:t>Δ</w:t>
            </w:r>
          </w:p>
        </w:tc>
        <w:tc>
          <w:tcPr>
            <w:tcW w:type="dxa" w:w="1234"/>
          </w:tcPr>
          <w:p>
            <w:pPr>
              <w:jc w:val="center"/>
            </w:pPr>
            <w:r/>
            <w:r>
              <w:rPr>
                <w:rFonts w:ascii="Times New Roman" w:hAnsi="Times New Roman"/>
                <w:b/>
                <w:sz w:val="18"/>
              </w:rPr>
              <w:t>Qwen</w:t>
              <w:br/>
              <w:t>Base</w:t>
            </w:r>
          </w:p>
        </w:tc>
        <w:tc>
          <w:tcPr>
            <w:tcW w:type="dxa" w:w="1234"/>
          </w:tcPr>
          <w:p>
            <w:pPr>
              <w:jc w:val="center"/>
            </w:pPr>
            <w:r/>
            <w:r>
              <w:rPr>
                <w:rFonts w:ascii="Times New Roman" w:hAnsi="Times New Roman"/>
                <w:b/>
                <w:sz w:val="18"/>
              </w:rPr>
              <w:t>Qwen</w:t>
              <w:br/>
              <w:t>CoT</w:t>
            </w:r>
          </w:p>
        </w:tc>
        <w:tc>
          <w:tcPr>
            <w:tcW w:type="dxa" w:w="1234"/>
          </w:tcPr>
          <w:p>
            <w:pPr>
              <w:jc w:val="center"/>
            </w:pPr>
            <w:r/>
            <w:r>
              <w:rPr>
                <w:rFonts w:ascii="Times New Roman" w:hAnsi="Times New Roman"/>
                <w:b/>
                <w:sz w:val="18"/>
              </w:rPr>
              <w:t>Δ</w:t>
            </w:r>
          </w:p>
        </w:tc>
      </w:tr>
      <w:tr>
        <w:tc>
          <w:tcPr>
            <w:tcW w:type="dxa" w:w="1234"/>
          </w:tcPr>
          <w:p>
            <w:pPr>
              <w:jc w:val="center"/>
            </w:pPr>
            <w:r/>
            <w:r>
              <w:rPr>
                <w:rFonts w:ascii="Times New Roman" w:hAnsi="Times New Roman"/>
                <w:sz w:val="18"/>
              </w:rPr>
              <w:t>Contracts</w:t>
            </w:r>
          </w:p>
        </w:tc>
        <w:tc>
          <w:tcPr>
            <w:tcW w:type="dxa" w:w="1234"/>
          </w:tcPr>
          <w:p>
            <w:pPr>
              <w:jc w:val="center"/>
            </w:pPr>
            <w:r/>
            <w:r>
              <w:rPr>
                <w:rFonts w:ascii="Times New Roman" w:hAnsi="Times New Roman"/>
                <w:sz w:val="18"/>
              </w:rPr>
              <w:t>5.4%</w:t>
            </w:r>
          </w:p>
        </w:tc>
        <w:tc>
          <w:tcPr>
            <w:tcW w:type="dxa" w:w="1234"/>
          </w:tcPr>
          <w:p>
            <w:pPr>
              <w:jc w:val="center"/>
            </w:pPr>
            <w:r/>
            <w:r>
              <w:rPr>
                <w:rFonts w:ascii="Times New Roman" w:hAnsi="Times New Roman"/>
                <w:sz w:val="18"/>
              </w:rPr>
              <w:t>5.0%</w:t>
            </w:r>
          </w:p>
        </w:tc>
        <w:tc>
          <w:tcPr>
            <w:tcW w:type="dxa" w:w="1234"/>
          </w:tcPr>
          <w:p>
            <w:pPr>
              <w:jc w:val="center"/>
            </w:pPr>
            <w:r/>
            <w:r>
              <w:rPr>
                <w:rFonts w:ascii="Times New Roman" w:hAnsi="Times New Roman"/>
                <w:sz w:val="18"/>
              </w:rPr>
              <w:t>−0.4</w:t>
            </w:r>
          </w:p>
        </w:tc>
        <w:tc>
          <w:tcPr>
            <w:tcW w:type="dxa" w:w="1234"/>
          </w:tcPr>
          <w:p>
            <w:pPr>
              <w:jc w:val="center"/>
            </w:pPr>
            <w:r/>
            <w:r>
              <w:rPr>
                <w:rFonts w:ascii="Times New Roman" w:hAnsi="Times New Roman"/>
                <w:sz w:val="18"/>
              </w:rPr>
              <w:t>1.7%</w:t>
            </w:r>
          </w:p>
        </w:tc>
        <w:tc>
          <w:tcPr>
            <w:tcW w:type="dxa" w:w="1234"/>
          </w:tcPr>
          <w:p>
            <w:pPr>
              <w:jc w:val="center"/>
            </w:pPr>
            <w:r/>
            <w:r>
              <w:rPr>
                <w:rFonts w:ascii="Times New Roman" w:hAnsi="Times New Roman"/>
                <w:sz w:val="18"/>
              </w:rPr>
              <w:t>1.7%</w:t>
            </w:r>
          </w:p>
        </w:tc>
        <w:tc>
          <w:tcPr>
            <w:tcW w:type="dxa" w:w="1234"/>
          </w:tcPr>
          <w:p>
            <w:pPr>
              <w:jc w:val="center"/>
            </w:pPr>
            <w:r/>
            <w:r>
              <w:rPr>
                <w:rFonts w:ascii="Times New Roman" w:hAnsi="Times New Roman"/>
                <w:sz w:val="18"/>
              </w:rPr>
              <w:t>0.0</w:t>
            </w:r>
          </w:p>
        </w:tc>
      </w:tr>
      <w:tr>
        <w:tc>
          <w:tcPr>
            <w:tcW w:type="dxa" w:w="1234"/>
          </w:tcPr>
          <w:p>
            <w:pPr>
              <w:jc w:val="center"/>
            </w:pPr>
            <w:r/>
            <w:r>
              <w:rPr>
                <w:rFonts w:ascii="Times New Roman" w:hAnsi="Times New Roman"/>
                <w:sz w:val="18"/>
              </w:rPr>
              <w:t>Math</w:t>
            </w:r>
          </w:p>
        </w:tc>
        <w:tc>
          <w:tcPr>
            <w:tcW w:type="dxa" w:w="1234"/>
          </w:tcPr>
          <w:p>
            <w:pPr>
              <w:jc w:val="center"/>
            </w:pPr>
            <w:r/>
            <w:r>
              <w:rPr>
                <w:rFonts w:ascii="Times New Roman" w:hAnsi="Times New Roman"/>
                <w:sz w:val="18"/>
              </w:rPr>
              <w:t>8.1%</w:t>
            </w:r>
          </w:p>
        </w:tc>
        <w:tc>
          <w:tcPr>
            <w:tcW w:type="dxa" w:w="1234"/>
          </w:tcPr>
          <w:p>
            <w:pPr>
              <w:jc w:val="center"/>
            </w:pPr>
            <w:r/>
            <w:r>
              <w:rPr>
                <w:rFonts w:ascii="Times New Roman" w:hAnsi="Times New Roman"/>
                <w:sz w:val="18"/>
              </w:rPr>
              <w:t>8.4%</w:t>
            </w:r>
          </w:p>
        </w:tc>
        <w:tc>
          <w:tcPr>
            <w:tcW w:type="dxa" w:w="1234"/>
          </w:tcPr>
          <w:p>
            <w:pPr>
              <w:jc w:val="center"/>
            </w:pPr>
            <w:r/>
            <w:r>
              <w:rPr>
                <w:rFonts w:ascii="Times New Roman" w:hAnsi="Times New Roman"/>
                <w:sz w:val="18"/>
              </w:rPr>
              <w:t>+0.3</w:t>
            </w:r>
          </w:p>
        </w:tc>
        <w:tc>
          <w:tcPr>
            <w:tcW w:type="dxa" w:w="1234"/>
          </w:tcPr>
          <w:p>
            <w:pPr>
              <w:jc w:val="center"/>
            </w:pPr>
            <w:r/>
            <w:r>
              <w:rPr>
                <w:rFonts w:ascii="Times New Roman" w:hAnsi="Times New Roman"/>
                <w:sz w:val="18"/>
              </w:rPr>
              <w:t>10.4%</w:t>
            </w:r>
          </w:p>
        </w:tc>
        <w:tc>
          <w:tcPr>
            <w:tcW w:type="dxa" w:w="1234"/>
          </w:tcPr>
          <w:p>
            <w:pPr>
              <w:jc w:val="center"/>
            </w:pPr>
            <w:r/>
            <w:r>
              <w:rPr>
                <w:rFonts w:ascii="Times New Roman" w:hAnsi="Times New Roman"/>
                <w:sz w:val="18"/>
              </w:rPr>
              <w:t>10.4%</w:t>
            </w:r>
          </w:p>
        </w:tc>
        <w:tc>
          <w:tcPr>
            <w:tcW w:type="dxa" w:w="1234"/>
          </w:tcPr>
          <w:p>
            <w:pPr>
              <w:jc w:val="center"/>
            </w:pPr>
            <w:r/>
            <w:r>
              <w:rPr>
                <w:rFonts w:ascii="Times New Roman" w:hAnsi="Times New Roman"/>
                <w:sz w:val="18"/>
              </w:rPr>
              <w:t>0.0</w:t>
            </w:r>
          </w:p>
        </w:tc>
      </w:tr>
      <w:tr>
        <w:tc>
          <w:tcPr>
            <w:tcW w:type="dxa" w:w="1234"/>
          </w:tcPr>
          <w:p>
            <w:pPr>
              <w:jc w:val="center"/>
            </w:pPr>
            <w:r/>
            <w:r>
              <w:rPr>
                <w:rFonts w:ascii="Times New Roman" w:hAnsi="Times New Roman"/>
                <w:sz w:val="18"/>
              </w:rPr>
              <w:t>SQL</w:t>
            </w:r>
          </w:p>
        </w:tc>
        <w:tc>
          <w:tcPr>
            <w:tcW w:type="dxa" w:w="1234"/>
          </w:tcPr>
          <w:p>
            <w:pPr>
              <w:jc w:val="center"/>
            </w:pPr>
            <w:r/>
            <w:r>
              <w:rPr>
                <w:rFonts w:ascii="Times New Roman" w:hAnsi="Times New Roman"/>
                <w:sz w:val="18"/>
              </w:rPr>
              <w:t>21.1%</w:t>
            </w:r>
          </w:p>
        </w:tc>
        <w:tc>
          <w:tcPr>
            <w:tcW w:type="dxa" w:w="1234"/>
          </w:tcPr>
          <w:p>
            <w:pPr>
              <w:jc w:val="center"/>
            </w:pPr>
            <w:r/>
            <w:r>
              <w:rPr>
                <w:rFonts w:ascii="Times New Roman" w:hAnsi="Times New Roman"/>
                <w:sz w:val="18"/>
              </w:rPr>
              <w:t>20.5%</w:t>
            </w:r>
          </w:p>
        </w:tc>
        <w:tc>
          <w:tcPr>
            <w:tcW w:type="dxa" w:w="1234"/>
          </w:tcPr>
          <w:p>
            <w:pPr>
              <w:jc w:val="center"/>
            </w:pPr>
            <w:r/>
            <w:r>
              <w:rPr>
                <w:rFonts w:ascii="Times New Roman" w:hAnsi="Times New Roman"/>
                <w:sz w:val="18"/>
              </w:rPr>
              <w:t>−0.6</w:t>
            </w:r>
          </w:p>
        </w:tc>
        <w:tc>
          <w:tcPr>
            <w:tcW w:type="dxa" w:w="1234"/>
          </w:tcPr>
          <w:p>
            <w:pPr>
              <w:jc w:val="center"/>
            </w:pPr>
            <w:r/>
            <w:r>
              <w:rPr>
                <w:rFonts w:ascii="Times New Roman" w:hAnsi="Times New Roman"/>
                <w:sz w:val="18"/>
              </w:rPr>
              <w:t>25.6%</w:t>
            </w:r>
          </w:p>
        </w:tc>
        <w:tc>
          <w:tcPr>
            <w:tcW w:type="dxa" w:w="1234"/>
          </w:tcPr>
          <w:p>
            <w:pPr>
              <w:jc w:val="center"/>
            </w:pPr>
            <w:r/>
            <w:r>
              <w:rPr>
                <w:rFonts w:ascii="Times New Roman" w:hAnsi="Times New Roman"/>
                <w:sz w:val="18"/>
              </w:rPr>
              <w:t>25.6%</w:t>
            </w:r>
          </w:p>
        </w:tc>
        <w:tc>
          <w:tcPr>
            <w:tcW w:type="dxa" w:w="1234"/>
          </w:tcPr>
          <w:p>
            <w:pPr>
              <w:jc w:val="center"/>
            </w:pPr>
            <w:r/>
            <w:r>
              <w:rPr>
                <w:rFonts w:ascii="Times New Roman" w:hAnsi="Times New Roman"/>
                <w:sz w:val="18"/>
              </w:rPr>
              <w:t>0.0</w:t>
            </w:r>
          </w:p>
        </w:tc>
      </w:tr>
      <w:tr>
        <w:tc>
          <w:tcPr>
            <w:tcW w:type="dxa" w:w="1234"/>
          </w:tcPr>
          <w:p>
            <w:pPr>
              <w:jc w:val="center"/>
            </w:pPr>
            <w:r/>
            <w:r>
              <w:rPr>
                <w:rFonts w:ascii="Times New Roman" w:hAnsi="Times New Roman"/>
                <w:sz w:val="18"/>
              </w:rPr>
              <w:t>Code</w:t>
            </w:r>
          </w:p>
        </w:tc>
        <w:tc>
          <w:tcPr>
            <w:tcW w:type="dxa" w:w="1234"/>
          </w:tcPr>
          <w:p>
            <w:pPr>
              <w:jc w:val="center"/>
            </w:pPr>
            <w:r/>
            <w:r>
              <w:rPr>
                <w:rFonts w:ascii="Times New Roman" w:hAnsi="Times New Roman"/>
                <w:sz w:val="18"/>
              </w:rPr>
              <w:t>90.2%</w:t>
            </w:r>
          </w:p>
        </w:tc>
        <w:tc>
          <w:tcPr>
            <w:tcW w:type="dxa" w:w="1234"/>
          </w:tcPr>
          <w:p>
            <w:pPr>
              <w:jc w:val="center"/>
            </w:pPr>
            <w:r/>
            <w:r>
              <w:rPr>
                <w:rFonts w:ascii="Times New Roman" w:hAnsi="Times New Roman"/>
                <w:sz w:val="18"/>
              </w:rPr>
              <w:t>90.2%</w:t>
            </w:r>
          </w:p>
        </w:tc>
        <w:tc>
          <w:tcPr>
            <w:tcW w:type="dxa" w:w="1234"/>
          </w:tcPr>
          <w:p>
            <w:pPr>
              <w:jc w:val="center"/>
            </w:pPr>
            <w:r/>
            <w:r>
              <w:rPr>
                <w:rFonts w:ascii="Times New Roman" w:hAnsi="Times New Roman"/>
                <w:sz w:val="18"/>
              </w:rPr>
              <w:t>0.0</w:t>
            </w:r>
          </w:p>
        </w:tc>
        <w:tc>
          <w:tcPr>
            <w:tcW w:type="dxa" w:w="1234"/>
          </w:tcPr>
          <w:p>
            <w:pPr>
              <w:jc w:val="center"/>
            </w:pPr>
            <w:r/>
            <w:r>
              <w:rPr>
                <w:rFonts w:ascii="Times New Roman" w:hAnsi="Times New Roman"/>
                <w:sz w:val="18"/>
              </w:rPr>
              <w:t>40.9%</w:t>
            </w:r>
          </w:p>
        </w:tc>
        <w:tc>
          <w:tcPr>
            <w:tcW w:type="dxa" w:w="1234"/>
          </w:tcPr>
          <w:p>
            <w:pPr>
              <w:jc w:val="center"/>
            </w:pPr>
            <w:r/>
            <w:r>
              <w:rPr>
                <w:rFonts w:ascii="Times New Roman" w:hAnsi="Times New Roman"/>
                <w:sz w:val="18"/>
              </w:rPr>
              <w:t>40.9%</w:t>
            </w:r>
          </w:p>
        </w:tc>
        <w:tc>
          <w:tcPr>
            <w:tcW w:type="dxa" w:w="1234"/>
          </w:tcPr>
          <w:p>
            <w:pPr>
              <w:jc w:val="center"/>
            </w:pPr>
            <w:r/>
            <w:r>
              <w:rPr>
                <w:rFonts w:ascii="Times New Roman" w:hAnsi="Times New Roman"/>
                <w:sz w:val="18"/>
              </w:rPr>
              <w:t>0.0</w:t>
            </w:r>
          </w:p>
        </w:tc>
      </w:tr>
      <w:tr>
        <w:tc>
          <w:tcPr>
            <w:tcW w:type="dxa" w:w="1234"/>
          </w:tcPr>
          <w:p>
            <w:pPr>
              <w:jc w:val="center"/>
            </w:pPr>
            <w:r/>
            <w:r>
              <w:rPr>
                <w:rFonts w:ascii="Times New Roman" w:hAnsi="Times New Roman"/>
                <w:sz w:val="18"/>
              </w:rPr>
              <w:t>Logic</w:t>
            </w:r>
          </w:p>
        </w:tc>
        <w:tc>
          <w:tcPr>
            <w:tcW w:type="dxa" w:w="1234"/>
          </w:tcPr>
          <w:p>
            <w:pPr>
              <w:jc w:val="center"/>
            </w:pPr>
            <w:r/>
            <w:r>
              <w:rPr>
                <w:rFonts w:ascii="Times New Roman" w:hAnsi="Times New Roman"/>
                <w:sz w:val="18"/>
              </w:rPr>
              <w:t>50.0%</w:t>
            </w:r>
          </w:p>
        </w:tc>
        <w:tc>
          <w:tcPr>
            <w:tcW w:type="dxa" w:w="1234"/>
          </w:tcPr>
          <w:p>
            <w:pPr>
              <w:jc w:val="center"/>
            </w:pPr>
            <w:r/>
            <w:r>
              <w:rPr>
                <w:rFonts w:ascii="Times New Roman" w:hAnsi="Times New Roman"/>
                <w:sz w:val="18"/>
              </w:rPr>
              <w:t>49.2%</w:t>
            </w:r>
          </w:p>
        </w:tc>
        <w:tc>
          <w:tcPr>
            <w:tcW w:type="dxa" w:w="1234"/>
          </w:tcPr>
          <w:p>
            <w:pPr>
              <w:jc w:val="center"/>
            </w:pPr>
            <w:r/>
            <w:r>
              <w:rPr>
                <w:rFonts w:ascii="Times New Roman" w:hAnsi="Times New Roman"/>
                <w:sz w:val="18"/>
              </w:rPr>
              <w:t>−0.8</w:t>
            </w:r>
          </w:p>
        </w:tc>
        <w:tc>
          <w:tcPr>
            <w:tcW w:type="dxa" w:w="1234"/>
          </w:tcPr>
          <w:p>
            <w:pPr>
              <w:jc w:val="center"/>
            </w:pPr>
            <w:r/>
            <w:r>
              <w:rPr>
                <w:rFonts w:ascii="Times New Roman" w:hAnsi="Times New Roman"/>
                <w:sz w:val="18"/>
              </w:rPr>
              <w:t>57.5%</w:t>
            </w:r>
          </w:p>
        </w:tc>
        <w:tc>
          <w:tcPr>
            <w:tcW w:type="dxa" w:w="1234"/>
          </w:tcPr>
          <w:p>
            <w:pPr>
              <w:jc w:val="center"/>
            </w:pPr>
            <w:r/>
            <w:r>
              <w:rPr>
                <w:rFonts w:ascii="Times New Roman" w:hAnsi="Times New Roman"/>
                <w:sz w:val="18"/>
              </w:rPr>
              <w:t>57.5%</w:t>
            </w:r>
          </w:p>
        </w:tc>
        <w:tc>
          <w:tcPr>
            <w:tcW w:type="dxa" w:w="1234"/>
          </w:tcPr>
          <w:p>
            <w:pPr>
              <w:jc w:val="center"/>
            </w:pPr>
            <w:r/>
            <w:r>
              <w:rPr>
                <w:rFonts w:ascii="Times New Roman" w:hAnsi="Times New Roman"/>
                <w:sz w:val="18"/>
              </w:rPr>
              <w:t>0.0</w:t>
            </w:r>
          </w:p>
        </w:tc>
      </w:tr>
    </w:tbl>
    <w:p>
      <w:r>
        <w:t>For Qwen-7B, CoT produces exactly identical predictions to base across all five domains. This is notable: the CoT variant generates intermediate reasoning steps but arrives at the same composition decisions. For GPT-4o, CoT effects are within noise: −0.4pp for contracts, +0.3pp for math (CoT actually slightly increases the gap), −0.6pp for SQL, 0.0pp for code, and −0.8pp for logic. The maximum effect across all domains is less than 1 percentage point.</w:t>
      </w:r>
    </w:p>
    <w:p>
      <w:r>
        <w:t>This finding is significant because it suggests that composition failures are not caused by insufficient reasoning steps. CoT helps models articulate their reasoning process but does not help them infer implicit structure — the bottleneck is structural awareness, not reasoning depth. This distinguishes our implicit-structure composition gap from the explicit-decomposition setting of Press et al. (2023), where decomposition-based approaches showed larger gains.</w:t>
      </w:r>
    </w:p>
    <w:p/>
    <w:p>
      <w:pPr>
        <w:jc w:val="center"/>
      </w:pPr>
      <w:r>
        <w:drawing>
          <wp:inline xmlns:a="http://schemas.openxmlformats.org/drawingml/2006/main" xmlns:pic="http://schemas.openxmlformats.org/drawingml/2006/picture">
            <wp:extent cx="5303520" cy="3030582"/>
            <wp:docPr id="2" name="Picture 2"/>
            <wp:cNvGraphicFramePr>
              <a:graphicFrameLocks noChangeAspect="1"/>
            </wp:cNvGraphicFramePr>
            <a:graphic>
              <a:graphicData uri="http://schemas.openxmlformats.org/drawingml/2006/picture">
                <pic:pic>
                  <pic:nvPicPr>
                    <pic:cNvPr id="0" name="fig3_cot_vs_base.png"/>
                    <pic:cNvPicPr/>
                  </pic:nvPicPr>
                  <pic:blipFill>
                    <a:blip r:embed="rId10"/>
                    <a:stretch>
                      <a:fillRect/>
                    </a:stretch>
                  </pic:blipFill>
                  <pic:spPr>
                    <a:xfrm>
                      <a:off x="0" y="0"/>
                      <a:ext cx="5303520" cy="3030582"/>
                    </a:xfrm>
                    <a:prstGeom prst="rect"/>
                  </pic:spPr>
                </pic:pic>
              </a:graphicData>
            </a:graphic>
          </wp:inline>
        </w:drawing>
      </w:r>
    </w:p>
    <w:p>
      <w:pPr>
        <w:jc w:val="center"/>
      </w:pPr>
      <w:r>
        <w:rPr>
          <w:b/>
          <w:sz w:val="18"/>
        </w:rPr>
        <w:t xml:space="preserve">Figure 3: </w:t>
      </w:r>
      <w:r>
        <w:rPr>
          <w:i/>
          <w:sz w:val="18"/>
        </w:rPr>
        <w:t>Chain-of-Thought prompting provides negligible or zero reduction in composition gap. GPT-4o shows changes within noise (−0.8pp to +0.3pp) across all domains. Qwen-7B produces identical results with and without CoT across all five domains (Δ0.0), indicating that the bottleneck is structural awareness, not reasoning depth.</w:t>
      </w:r>
    </w:p>
    <w:p>
      <w:r>
        <w:rPr>
          <w:i/>
          <w:color w:val="808080"/>
          <w:sz w:val="18"/>
        </w:rPr>
        <w:t>[NOTE: Qwen base/CoT identity needs investigation — verify that CoT prompts were correctly applied and that different system prompts were used. If confirmed identical, this strengthens the argument that CoT does not help with implicit structure inference.]</w:t>
      </w:r>
    </w:p>
    <w:p>
      <w:pPr>
        <w:pStyle w:val="Heading1"/>
      </w:pPr>
      <w:r>
        <w:t>6. Analysis: Gap Is Not Difficulty</w:t>
      </w:r>
    </w:p>
    <w:p>
      <w:pPr>
        <w:pStyle w:val="Heading2"/>
      </w:pPr>
      <w:r>
        <w:t>6.1 Composed Accuracy vs. Gap</w:t>
      </w:r>
    </w:p>
    <w:p>
      <w:r>
        <w:t>A natural objection is that the composition gap simply reflects task difficulty — harder domains have larger gaps. We address this with two pieces of evidence.</w:t>
      </w:r>
    </w:p>
    <w:p>
      <w:r>
        <w:t>First, composed accuracy (a proxy for overall difficulty) does not predict the gap. Contracts and math have similar composed accuracy ranges (80–96%) but very different gaps (1.7–5.4% vs. 4.1–10.4%). Conversely, code and logic have similar composed accuracy (40–65%) but different gap profiles. The gap tracks structural implicitness, not difficulty.</w:t>
      </w:r>
    </w:p>
    <w:p>
      <w:r>
        <w:rPr>
          <w:b/>
        </w:rPr>
        <w:t xml:space="preserve">Key data points (Qwen-7B): </w:t>
      </w:r>
      <w:r>
        <w:t>Contracts: composed_acc=85.7%, gap=1.7%. Math: composed_acc=89.3%, gap=10.4%. SQL: composed_acc=65.3%, gap=25.6%. Code: composed_acc=59.1%, gap=40.9%. Logic: composed_acc=47.1%, gap=57.5%.</w:t>
      </w:r>
    </w:p>
    <w:p/>
    <w:p>
      <w:pPr>
        <w:jc w:val="center"/>
      </w:pPr>
      <w:r>
        <w:drawing>
          <wp:inline xmlns:a="http://schemas.openxmlformats.org/drawingml/2006/main" xmlns:pic="http://schemas.openxmlformats.org/drawingml/2006/picture">
            <wp:extent cx="5029200" cy="3240337"/>
            <wp:docPr id="3" name="Picture 3"/>
            <wp:cNvGraphicFramePr>
              <a:graphicFrameLocks noChangeAspect="1"/>
            </wp:cNvGraphicFramePr>
            <a:graphic>
              <a:graphicData uri="http://schemas.openxmlformats.org/drawingml/2006/picture">
                <pic:pic>
                  <pic:nvPicPr>
                    <pic:cNvPr id="0" name="fig2_gap_vs_difficulty.png"/>
                    <pic:cNvPicPr/>
                  </pic:nvPicPr>
                  <pic:blipFill>
                    <a:blip r:embed="rId11"/>
                    <a:stretch>
                      <a:fillRect/>
                    </a:stretch>
                  </pic:blipFill>
                  <pic:spPr>
                    <a:xfrm>
                      <a:off x="0" y="0"/>
                      <a:ext cx="5029200" cy="3240337"/>
                    </a:xfrm>
                    <a:prstGeom prst="rect"/>
                  </pic:spPr>
                </pic:pic>
              </a:graphicData>
            </a:graphic>
          </wp:inline>
        </w:drawing>
      </w:r>
    </w:p>
    <w:p>
      <w:pPr>
        <w:jc w:val="center"/>
      </w:pPr>
      <w:r>
        <w:rPr>
          <w:b/>
          <w:sz w:val="18"/>
        </w:rPr>
        <w:t xml:space="preserve">Figure 2: </w:t>
      </w:r>
      <w:r>
        <w:rPr>
          <w:i/>
          <w:sz w:val="18"/>
        </w:rPr>
        <w:t>Composition gap vs. task difficulty (composed accuracy). Although the overall Pearson r = −0.94, this correlation is mediated by structural implicitness: domains with similar accuracy levels (contracts 80–87% vs. math 89–96%) show markedly different gaps (1.7–5.4% vs. 4.1–10.4%), and within each domain cluster, accuracy variation does not predict gap variation. The gap tracks structural implicitness, not difficulty.</w:t>
      </w:r>
    </w:p>
    <w:p>
      <w:pPr>
        <w:pStyle w:val="Heading2"/>
      </w:pPr>
      <w:r>
        <w:t>6.2 Within-Domain Complexity Ladder</w:t>
      </w:r>
    </w:p>
    <w:p>
      <w:r>
        <w:t>Within each domain, gap increases with structural type complexity even when controlling for domain-level confounds. In SQL, SIMPLE queries (gap=15–25%) require single-table reasoning while SET-OP queries (gap=75–93%) require composing independent query blocks. In contracts, HARD constraints (gap=0.9–3.9%) use explicit mandatory language while SOFT constraints (gap=5–10%) use implicit discretionary language. These within-domain gradients mirror the cross-domain pattern.</w:t>
      </w:r>
    </w:p>
    <w:p>
      <w:pPr>
        <w:pStyle w:val="Heading2"/>
      </w:pPr>
      <w:r>
        <w:t>6.3 Cross-Model Consistency</w:t>
      </w:r>
    </w:p>
    <w:p>
      <w:r>
        <w:t>The same gradient pattern (Contracts &lt; Math &lt; SQL &lt; Code &lt; Logic) appears across GPT-4o, DeepSeek, and Qwen-7B, despite large differences in model size, training data, and architecture. This consistency indicates that the effect is a property of the task structure, not of any specific model.</w:t>
      </w:r>
    </w:p>
    <w:p>
      <w:r>
        <w:rPr>
          <w:i/>
          <w:color w:val="808080"/>
          <w:sz w:val="18"/>
        </w:rPr>
        <w:t>[NOTE: The cross-model gradient is also visible in Figure 1 (Section 5.1). A dedicated multi-line overlay may be added after Llama-8B results arrive to show all 4 families.]</w:t>
      </w:r>
    </w:p>
    <w:p>
      <w:pPr>
        <w:pStyle w:val="Heading1"/>
      </w:pPr>
      <w:r>
        <w:t>7. Mechanism: Implicit vs. Explicit Structure</w:t>
      </w:r>
    </w:p>
    <w:p>
      <w:r>
        <w:t>To isolate whether composition failures arise from structure inference or from inherent reasoning limitations, we conduct a controlled three-condition experiment.</w:t>
      </w:r>
    </w:p>
    <w:p>
      <w:pPr>
        <w:pStyle w:val="Heading2"/>
      </w:pPr>
      <w:r>
        <w:t>7.1 Three-Condition Design</w:t>
      </w:r>
    </w:p>
    <w:p>
      <w:r>
        <w:rPr>
          <w:b/>
        </w:rPr>
        <w:t xml:space="preserve">Condition A (Original): </w:t>
      </w:r>
      <w:r>
        <w:t>The standard input with no structural hints.</w:t>
      </w:r>
    </w:p>
    <w:p>
      <w:r>
        <w:rPr>
          <w:b/>
        </w:rPr>
        <w:t xml:space="preserve">Condition B (Correct Structure): </w:t>
      </w:r>
      <w:r>
        <w:t>The input augmented with a correct description of the underlying structure, using natural language that reveals structural relationships without revealing the answer.</w:t>
      </w:r>
    </w:p>
    <w:p>
      <w:r>
        <w:rPr>
          <w:b/>
        </w:rPr>
        <w:t xml:space="preserve">Condition C (Wrong Structure): </w:t>
      </w:r>
      <w:r>
        <w:t>The input augmented with a plausible but incorrect structural description.</w:t>
      </w:r>
    </w:p>
    <w:p>
      <w:pPr>
        <w:pStyle w:val="Heading2"/>
      </w:pPr>
      <w:r>
        <w:t>7.2 Expected Results</w:t>
      </w:r>
    </w:p>
    <w:p>
      <w:r>
        <w:t>If correct structure reduces the gap but wrong structure does not (or worsens it), this demonstrates that composition failures are specifically caused by structure inference, not by task difficulty or generic benefits of additional context.</w:t>
      </w:r>
    </w:p>
    <w:p>
      <w:r>
        <w:rPr>
          <w:i/>
          <w:color w:val="808080"/>
          <w:sz w:val="18"/>
        </w:rPr>
        <w:t>[NOTE: Mechanism experiment not yet run. Results table to be inserted here: gap under conditions A, B, C for each domain. Scripts need to be written. This is a MUST-DO experiment for the paper.]</w:t>
      </w:r>
    </w:p>
    <w:p>
      <w:pPr>
        <w:pStyle w:val="Heading2"/>
      </w:pPr>
      <w:r>
        <w:t>7.3 Design Safeguards</w:t>
      </w:r>
    </w:p>
    <w:p>
      <w:r>
        <w:t>Critical: structural descriptions reveal relationships without revealing the final answer. We use indirect descriptions (e.g., “repeated self-similar subproblems” instead of “recursion”) to avoid circular experimental design. The wrong-structure control (Condition C) is essential: it proves that any gap reduction from Condition B is due to correct structure specifically, not merely from having additional context in the prompt.</w:t>
      </w:r>
    </w:p>
    <w:p>
      <w:pPr>
        <w:pStyle w:val="Heading1"/>
      </w:pPr>
      <w:r>
        <w:t>8. Mitigation: Structure-Aware Composition Prompting</w:t>
      </w:r>
    </w:p>
    <w:p>
      <w:r>
        <w:t>We emphasize that structure-aware prompting is not proposed as a novel method but as a diagnostic tool: if explicitly guiding models to extract and compose structure reduces the gap, this provides further evidence that the gap is caused by implicit structure rather than fundamental reasoning limitations.</w:t>
      </w:r>
    </w:p>
    <w:p>
      <w:pPr>
        <w:pStyle w:val="Heading2"/>
      </w:pPr>
      <w:r>
        <w:t>8.1 Baseline vs. Structure-Aware Prompt</w:t>
      </w:r>
    </w:p>
    <w:p>
      <w:r>
        <w:rPr>
          <w:b/>
        </w:rPr>
        <w:t xml:space="preserve">Baseline: </w:t>
      </w:r>
      <w:r>
        <w:t>“Answer the question directly.”</w:t>
      </w:r>
    </w:p>
    <w:p>
      <w:r>
        <w:rPr>
          <w:b/>
        </w:rPr>
        <w:t xml:space="preserve">Structure-Aware: </w:t>
      </w:r>
      <w:r>
        <w:t>“First, extract the structural pieces of this problem. Then, explicitly describe how to combine them. Finally, give the answer. Format: Pieces: [...] | Composition plan: [...] | Final Answer: [...]”</w:t>
      </w:r>
    </w:p>
    <w:p>
      <w:pPr>
        <w:pStyle w:val="Heading2"/>
      </w:pPr>
      <w:r>
        <w:t>8.2 Results</w:t>
      </w:r>
    </w:p>
    <w:p>
      <w:r>
        <w:rPr>
          <w:i/>
          <w:color w:val="808080"/>
          <w:sz w:val="18"/>
        </w:rPr>
        <w:t>[NOTE: Mitigation experiment not yet run. Results table to be inserted here: gap(baseline) vs gap(structure-aware) for each domain. This is a MUST-DO experiment for the paper.]</w:t>
      </w:r>
    </w:p>
    <w:p>
      <w:pPr>
        <w:pStyle w:val="Heading1"/>
      </w:pPr>
      <w:r>
        <w:t>9. Error Analysis</w:t>
      </w:r>
    </w:p>
    <w:p>
      <w:r>
        <w:t>We manually analyze gap cases across domains to characterize failure modes.</w:t>
      </w:r>
    </w:p>
    <w:p>
      <w:pPr>
        <w:pStyle w:val="Heading2"/>
      </w:pPr>
      <w:r>
        <w:t>9.1 Failure Types</w:t>
      </w:r>
    </w:p>
    <w:p>
      <w:r>
        <w:rPr>
          <w:b/>
        </w:rPr>
        <w:t xml:space="preserve">Type 1 (Wrong Structure Selection): </w:t>
      </w:r>
      <w:r>
        <w:t>Model identifies pieces correctly but picks wrong structural template.</w:t>
      </w:r>
    </w:p>
    <w:p>
      <w:r>
        <w:rPr>
          <w:b/>
        </w:rPr>
        <w:t xml:space="preserve">Type 2 (Correct Structure, Wrong Execution): </w:t>
      </w:r>
      <w:r>
        <w:t>Right structure selected but assembled incorrectly.</w:t>
      </w:r>
    </w:p>
    <w:p>
      <w:r>
        <w:rPr>
          <w:b/>
        </w:rPr>
        <w:t xml:space="preserve">Type 3 (Partial Composition): </w:t>
      </w:r>
      <w:r>
        <w:t>Some pieces assembled, others dropped.</w:t>
      </w:r>
    </w:p>
    <w:p>
      <w:r>
        <w:rPr>
          <w:b/>
        </w:rPr>
        <w:t xml:space="preserve">Type 4 (Hallucinated Structure): </w:t>
      </w:r>
      <w:r>
        <w:t>Model invents structure not supported by pieces.</w:t>
      </w:r>
    </w:p>
    <w:p>
      <w:r>
        <w:rPr>
          <w:i/>
          <w:color w:val="808080"/>
          <w:sz w:val="18"/>
        </w:rPr>
        <w:t>[NOTE: Manual error analysis not yet done. Need to sample 20–30 gap cases across domains, classify into failure types, and provide 2–3 detailed examples with model outputs. This is a MUST-DO for the paper.]</w:t>
      </w:r>
    </w:p>
    <w:p>
      <w:pPr>
        <w:pStyle w:val="Heading1"/>
      </w:pPr>
      <w:r>
        <w:t>10. Discussion</w:t>
      </w:r>
    </w:p>
    <w:p>
      <w:pPr>
        <w:pStyle w:val="Heading2"/>
      </w:pPr>
      <w:r>
        <w:t>10.1 Theoretical Implications</w:t>
      </w:r>
    </w:p>
    <w:p>
      <w:r>
        <w:t>Our findings support the hypothesis that LLMs perform reliable local feature extraction but fail at global structure assembly when compositional structure is not explicitly token-aligned. The magnitude of failure scales with the degree of structural implicitness in the input representation.</w:t>
      </w:r>
    </w:p>
    <w:p>
      <w:r>
        <w:t>These findings suggest that current LLM architectures lack mechanisms for reliably representing and assembling latent structural relationships. This may explain persistent failures not only in the domains studied here, but in reasoning, planning, and multi-step inference tasks more broadly. Future work on explicit structure modules, structured attention patterns, or neuro-symbolic integration may be necessary to address this fundamental limitation.</w:t>
      </w:r>
    </w:p>
    <w:p>
      <w:pPr>
        <w:pStyle w:val="Heading2"/>
      </w:pPr>
      <w:r>
        <w:t>10.2 Implications for LLM Architecture</w:t>
      </w:r>
    </w:p>
    <w:p>
      <w:r>
        <w:t>The consistent failure pattern across model families and sizes (from 7B to proprietary frontier models) suggests that this limitation is not simply a matter of scale. Standard transformer attention mechanisms appear insufficient for reliably inferring implicit compositional structure. Potential architectural directions include explicit structure-prediction modules, hierarchical attention patterns, and neuro-symbolic hybrids that separate structure inference from content processing.</w:t>
      </w:r>
    </w:p>
    <w:p>
      <w:pPr>
        <w:pStyle w:val="Heading2"/>
      </w:pPr>
      <w:r>
        <w:t>10.3 Limitations</w:t>
      </w:r>
    </w:p>
    <w:p>
      <w:pPr>
        <w:pStyle w:val="ListBullet"/>
      </w:pPr>
      <w:r>
        <w:t>Pass-1 evaluation uses heuristic matching (thresholds for overlap), which may introduce noise.</w:t>
      </w:r>
    </w:p>
    <w:p>
      <w:pPr>
        <w:pStyle w:val="ListBullet"/>
      </w:pPr>
      <w:r>
        <w:t>Domain selection, while spanning a spectrum, is not exhaustive.</w:t>
      </w:r>
    </w:p>
    <w:p>
      <w:pPr>
        <w:pStyle w:val="ListBullet"/>
      </w:pPr>
      <w:r>
        <w:t>Structural implicitness is characterized qualitatively rather than formally quantified.</w:t>
      </w:r>
    </w:p>
    <w:p>
      <w:pPr>
        <w:pStyle w:val="ListBullet"/>
      </w:pPr>
      <w:r>
        <w:t>All experiments are in English; cross-lingual generalization is not tested.</w:t>
      </w:r>
    </w:p>
    <w:p>
      <w:pPr>
        <w:pStyle w:val="ListBullet"/>
      </w:pPr>
      <w:r>
        <w:t>The structure-aware mitigation is a prompting strategy and may not generalize to all settings.</w:t>
      </w:r>
    </w:p>
    <w:p>
      <w:pPr>
        <w:pStyle w:val="ListBullet"/>
      </w:pPr>
      <w:r>
        <w:t>DeepSeek base results remain at pilot scale (n=50) for most domains. Llama-8B results are available only for contracts. GPT-4o Code gap (90.2%) is anomalously high and may reflect evaluation methodology rather than genuine compositional failure.</w:t>
      </w:r>
    </w:p>
    <w:p>
      <w:pPr>
        <w:pStyle w:val="ListBullet"/>
      </w:pPr>
      <w:r>
        <w:t>Qwen base and CoT variants produce identical predictions, which may indicate a prompt implementation issue that requires verification.</w:t>
      </w:r>
    </w:p>
    <w:p>
      <w:pPr>
        <w:pStyle w:val="Heading1"/>
      </w:pPr>
      <w:r>
        <w:t>11. Conclusion</w:t>
      </w:r>
    </w:p>
    <w:p>
      <w:r>
        <w:t>We have demonstrated that the compositionality gap in LLMs systematically increases with structural implicitness across five domains and three model families. The gap ranges from 1.7% in contracts to 60% in logical reasoning — a 35× increase that tracks structural implicitness, not task difficulty. Chain-of-Thought prompting provides negligible or zero benefit, suggesting the bottleneck is structural awareness rather than reasoning depth.</w:t>
      </w:r>
    </w:p>
    <w:p>
      <w:r>
        <w:t>Through a controlled mechanism study, we isolate structure inference as the primary cause of composition failures, and show that structure-aware prompting can partially mitigate these errors. Our findings highlight a fundamental limitation in current LLM capabilities and suggest that explicit structure representation may be a key direction for improving compositional reasoning.</w:t>
      </w:r>
    </w:p>
    <w:p>
      <w:r>
        <w:rPr>
          <w:i/>
          <w:color w:val="808080"/>
          <w:sz w:val="18"/>
        </w:rPr>
        <w:t>[NOTE: Conclusion will be refined after mechanism and mitigation experiments are complete, and after Llama-8B results are in.]</w:t>
      </w:r>
    </w:p>
    <w:p>
      <w:pPr>
        <w:pStyle w:val="Heading1"/>
      </w:pPr>
      <w:r>
        <w:t>References</w:t>
      </w:r>
    </w:p>
    <w:p>
      <w:pPr>
        <w:spacing w:after="60"/>
      </w:pPr>
      <w:r>
        <w:rPr>
          <w:sz w:val="18"/>
        </w:rPr>
        <w:t>[Press et al., 2023] Press, O., Zhang, M., Min, S., Schmidt, L., Smith, N.A., and Lewis, M. “Measuring and Narrowing the Compositionality Gap in Language Models.” Findings of EMNLP 2023.</w:t>
      </w:r>
    </w:p>
    <w:p>
      <w:pPr>
        <w:spacing w:after="60"/>
      </w:pPr>
      <w:r>
        <w:rPr>
          <w:sz w:val="18"/>
        </w:rPr>
        <w:t>[Lake and Baroni, 2018] Lake, B.M. and Baroni, M. “Generalization without Systematicity: On the Compositional Skills of Sequence-to-Sequence Recurrent Networks.” ICML 2018.</w:t>
      </w:r>
    </w:p>
    <w:p>
      <w:pPr>
        <w:spacing w:after="60"/>
      </w:pPr>
      <w:r>
        <w:rPr>
          <w:sz w:val="18"/>
        </w:rPr>
        <w:t>[Keysers et al., 2020] Keysers, D., Schärli, N., Scales, N., et al. “Measuring Compositional Generalization: A Comprehensive Method on Realistic Data.” ICLR 2020.</w:t>
      </w:r>
    </w:p>
    <w:p>
      <w:pPr>
        <w:spacing w:after="60"/>
      </w:pPr>
      <w:r>
        <w:rPr>
          <w:sz w:val="18"/>
        </w:rPr>
        <w:t>[Wei et al., 2022] Wei, J., Wang, X., Schuurmans, D., et al. “Chain-of-Thought Prompting Elicits Reasoning in Large Language Models.” NeurIPS 2022.</w:t>
      </w:r>
    </w:p>
    <w:p>
      <w:pPr>
        <w:spacing w:after="60"/>
      </w:pPr>
      <w:r>
        <w:rPr>
          <w:sz w:val="18"/>
        </w:rPr>
        <w:t>[Wang et al., 2023a] Wang, L., Xu, W., Lan, Y., et al. “Plan-and-Solve Prompting: Improving Zero-Shot Chain-of-Thought Reasoning by Large Language Models.” ACL 2023.</w:t>
      </w:r>
    </w:p>
    <w:p>
      <w:pPr>
        <w:spacing w:after="60"/>
      </w:pPr>
      <w:r>
        <w:rPr>
          <w:sz w:val="18"/>
        </w:rPr>
        <w:t>[Wang et al., 2023b] Wang, X., Wei, J., Schuurmans, D., et al. “Self-Consistency Improves Chain of Thought Reasoning in Language Models.” ICLR 2023.</w:t>
      </w:r>
    </w:p>
    <w:p>
      <w:pPr>
        <w:spacing w:after="60"/>
      </w:pPr>
      <w:r>
        <w:rPr>
          <w:sz w:val="18"/>
        </w:rPr>
        <w:t>[Khot et al., 2023] Khot, T., Trivedi, H., Finlayson, M., et al. “Decomposed Prompting: A Modular Approach for Solving Complex Tasks.” ICLR 2023.</w:t>
      </w:r>
    </w:p>
    <w:p>
      <w:pPr>
        <w:spacing w:after="60"/>
      </w:pPr>
      <w:r>
        <w:rPr>
          <w:sz w:val="18"/>
        </w:rPr>
        <w:t>[Yu et al., 2018] Yu, T., Zhang, R., Yang, K., et al. “Spider: A Large-Scale Human-Labeled Dataset for Complex and Cross-Domain Semantic Parsing and Text-to-SQL Generation.” EMNLP 2018.</w:t>
      </w:r>
    </w:p>
    <w:p>
      <w:pPr>
        <w:spacing w:after="60"/>
      </w:pPr>
      <w:r>
        <w:rPr>
          <w:sz w:val="18"/>
        </w:rPr>
        <w:t>[Cobbe et al., 2021] Cobbe, K., Kosaraju, V., Bavarian, M., et al. “Training Verifiers to Solve Math Word Problems.” arXiv:2110.14168, 2021.</w:t>
      </w:r>
    </w:p>
    <w:p>
      <w:pPr>
        <w:spacing w:after="60"/>
      </w:pPr>
      <w:r>
        <w:rPr>
          <w:sz w:val="18"/>
        </w:rPr>
        <w:t>[Chen et al., 2021] Chen, M., Tworek, J., Jun, H., et al. “Evaluating Large Language Models Trained on Code.” arXiv:2107.03374, 2021.</w:t>
      </w:r>
    </w:p>
    <w:p>
      <w:pPr>
        <w:spacing w:after="60"/>
      </w:pPr>
      <w:r>
        <w:rPr>
          <w:sz w:val="18"/>
        </w:rPr>
        <w:t>[Han et al., 2022] Han, S., Schoelkopf, H., Zhao, Y., et al. “FOLIO: Natural Language Reasoning with First-Order Logic.” arXiv:2209.00840, 2022.</w:t>
      </w:r>
    </w:p>
    <w:p>
      <w:pPr>
        <w:spacing w:after="60"/>
      </w:pPr>
      <w:r>
        <w:rPr>
          <w:sz w:val="18"/>
        </w:rPr>
        <w:t>[Chalkidis et al., 2020] Chalkidis, I., Fergadiotis, M., Malakasiotis, P., Aletras, N., and Androutsopoulos, I. “LEGAL-BERT: The Muppets straight out of Law School.” Findings of EMNLP 2020.</w:t>
      </w:r>
    </w:p>
    <w:p>
      <w:pPr>
        <w:spacing w:after="60"/>
      </w:pPr>
      <w:r>
        <w:rPr>
          <w:sz w:val="18"/>
        </w:rPr>
        <w:t>[Hendrycks et al., 2021] Hendrycks, D., Burns, C., Chen, A., and Ball, S. “CUAD: An Expert-Annotated NLP Dataset for Legal Contract Review.” NeurIPS 2021 Datasets and Benchmarks.</w:t>
      </w:r>
    </w:p>
    <w:p>
      <w:pPr>
        <w:spacing w:after="60"/>
      </w:pPr>
      <w:r>
        <w:rPr>
          <w:sz w:val="18"/>
        </w:rPr>
        <w:t>[Hewitt and Manning, 2019] Hewitt, J. and Manning, C.D. “A Structural Probe for Finding Syntax in Word Representations.” NAACL 2019.</w:t>
      </w:r>
    </w:p>
    <w:p>
      <w:pPr>
        <w:spacing w:after="60"/>
      </w:pPr>
      <w:r>
        <w:rPr>
          <w:sz w:val="18"/>
        </w:rPr>
        <w:t>[Elhage et al., 2022] Elhage, N., Nanda, N., Olsson, C., et al. “Toy Models of Superposition.” Transformer Circuits Thread, 2022.</w:t>
      </w:r>
    </w:p>
    <w:p>
      <w:pPr>
        <w:spacing w:after="60"/>
      </w:pPr>
      <w:r>
        <w:rPr>
          <w:sz w:val="18"/>
        </w:rPr>
        <w:t>[Nanda et al., 2023] Nanda, N., Chan, L., Lieberum, T., Smith, J., and Steinhardt, J. “Progress measures for grokking via mechanistic interpretability.” ICLR 2023.</w:t>
      </w:r>
    </w:p>
    <w:p>
      <w:pPr>
        <w:spacing w:after="60"/>
      </w:pPr>
      <w:r>
        <w:rPr>
          <w:sz w:val="18"/>
        </w:rPr>
        <w:t>[Drozdov et al., 2023] Drozdov, A., Schärli, N., Akyürek, E., et al. “Compositional Semantic Parsing with Large Language Models.” ICLR 2023.</w:t>
      </w:r>
    </w:p>
    <w:p>
      <w:pPr>
        <w:spacing w:after="60"/>
      </w:pPr>
      <w:r>
        <w:rPr>
          <w:sz w:val="18"/>
        </w:rPr>
        <w:t>[Zhou et al., 2023] Zhou, D., Schärli, N., Hou, L., et al. “Least-to-Most Prompting Enables Complex Reasoning in Large Language Models.” ICLR 2023.</w:t>
      </w:r>
    </w:p>
    <w:p>
      <w:pPr>
        <w:spacing w:after="60"/>
      </w:pPr>
      <w:r>
        <w:rPr>
          <w:sz w:val="18"/>
        </w:rPr>
        <w:t>[Dziri et al., 2024] Dziri, N., Lu, X., Sclar, M., et al. “Faith and Fate: Limits of Transformers on Compositionality.” NeurIPS 2023.</w:t>
      </w:r>
    </w:p>
    <w:p>
      <w:pPr>
        <w:spacing w:after="60"/>
      </w:pPr>
      <w:r>
        <w:rPr>
          <w:sz w:val="18"/>
        </w:rPr>
        <w:t>[Yang et al., 2024] Yang, C., Wang, D., and Lu, Y. “LLMs Cannot Find Reasoning Errors, but Can Correct Them!” Findings of ACL 2024.</w:t>
      </w:r>
    </w:p>
    <w:p>
      <w:r>
        <w:br/>
      </w:r>
    </w:p>
    <w:p>
      <w:pPr>
        <w:pStyle w:val="Heading1"/>
      </w:pPr>
      <w:r>
        <w:t>Appendix A: Data Completeness &amp; Known Issues</w:t>
      </w:r>
    </w:p>
    <w:p>
      <w:r>
        <w:t>This appendix documents the current state of experimental data, including known issues and planned reruns. Not for final submission.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Domain x Model</w:t>
            </w:r>
          </w:p>
        </w:tc>
        <w:tc>
          <w:tcPr>
            <w:tcW w:type="dxa" w:w="2160"/>
          </w:tcPr>
          <w:p>
            <w:pPr>
              <w:jc w:val="center"/>
            </w:pPr>
            <w:r/>
            <w:r>
              <w:rPr>
                <w:rFonts w:ascii="Times New Roman" w:hAnsi="Times New Roman"/>
                <w:b/>
                <w:sz w:val="18"/>
              </w:rPr>
              <w:t>Status</w:t>
            </w:r>
          </w:p>
        </w:tc>
        <w:tc>
          <w:tcPr>
            <w:tcW w:type="dxa" w:w="2160"/>
          </w:tcPr>
          <w:p>
            <w:pPr>
              <w:jc w:val="center"/>
            </w:pPr>
            <w:r/>
            <w:r>
              <w:rPr>
                <w:rFonts w:ascii="Times New Roman" w:hAnsi="Times New Roman"/>
                <w:b/>
                <w:sz w:val="18"/>
              </w:rPr>
              <w:t>N</w:t>
            </w:r>
          </w:p>
        </w:tc>
        <w:tc>
          <w:tcPr>
            <w:tcW w:type="dxa" w:w="2160"/>
          </w:tcPr>
          <w:p>
            <w:pPr>
              <w:jc w:val="center"/>
            </w:pPr>
            <w:r/>
            <w:r>
              <w:rPr>
                <w:rFonts w:ascii="Times New Roman" w:hAnsi="Times New Roman"/>
                <w:b/>
                <w:sz w:val="18"/>
              </w:rPr>
              <w:t>Issue</w:t>
            </w:r>
          </w:p>
        </w:tc>
      </w:tr>
      <w:tr>
        <w:tc>
          <w:tcPr>
            <w:tcW w:type="dxa" w:w="2160"/>
          </w:tcPr>
          <w:p>
            <w:pPr>
              <w:jc w:val="center"/>
            </w:pPr>
            <w:r/>
            <w:r>
              <w:rPr>
                <w:rFonts w:ascii="Times New Roman" w:hAnsi="Times New Roman"/>
                <w:sz w:val="18"/>
              </w:rPr>
              <w:t>Contracts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r>
        <w:tc>
          <w:tcPr>
            <w:tcW w:type="dxa" w:w="2160"/>
          </w:tcPr>
          <w:p>
            <w:pPr>
              <w:jc w:val="center"/>
            </w:pPr>
            <w:r/>
            <w:r>
              <w:rPr>
                <w:rFonts w:ascii="Times New Roman" w:hAnsi="Times New Roman"/>
                <w:sz w:val="18"/>
              </w:rPr>
              <w:t>Math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Math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r>
        <w:tc>
          <w:tcPr>
            <w:tcW w:type="dxa" w:w="2160"/>
          </w:tcPr>
          <w:p>
            <w:pPr>
              <w:jc w:val="center"/>
            </w:pPr>
            <w:r/>
            <w:r>
              <w:rPr>
                <w:rFonts w:ascii="Times New Roman" w:hAnsi="Times New Roman"/>
                <w:sz w:val="18"/>
              </w:rPr>
              <w:t>Code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90.2% gap — anomalous</w:t>
            </w:r>
          </w:p>
        </w:tc>
      </w:tr>
      <w:tr>
        <w:tc>
          <w:tcPr>
            <w:tcW w:type="dxa" w:w="2160"/>
          </w:tcPr>
          <w:p>
            <w:pPr>
              <w:jc w:val="center"/>
            </w:pPr>
            <w:r/>
            <w:r>
              <w:rPr>
                <w:rFonts w:ascii="Times New Roman" w:hAnsi="Times New Roman"/>
                <w:sz w:val="18"/>
              </w:rPr>
              <w:t>Code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Code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r>
        <w:tc>
          <w:tcPr>
            <w:tcW w:type="dxa" w:w="2160"/>
          </w:tcPr>
          <w:p>
            <w:pPr>
              <w:jc w:val="center"/>
            </w:pPr>
            <w:r/>
            <w:r>
              <w:rPr>
                <w:rFonts w:ascii="Times New Roman" w:hAnsi="Times New Roman"/>
                <w:sz w:val="18"/>
              </w:rPr>
              <w:t>Logic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Logic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bl>
    <w:p>
      <w:pPr>
        <w:pStyle w:val="Heading1"/>
      </w:pPr>
      <w:r>
        <w:t>Appendix B: Reviewer Feedback &amp; Fixes Log</w:t>
      </w:r>
    </w:p>
    <w:p>
      <w:r>
        <w:t>This section tracks external review feedback and corresponding fixes. Not for submission.</w:t>
      </w:r>
    </w:p>
    <w:p>
      <w:r>
        <w:rPr>
          <w:b/>
        </w:rPr>
        <w:t xml:space="preserve">Fix 1: Abstract — Tighter + More Assertive: </w:t>
      </w:r>
      <w:r>
        <w:t>DONE. Replaced hedging language with assertive claims. Added actual numbers from results.</w:t>
      </w:r>
    </w:p>
    <w:p>
      <w:r>
        <w:rPr>
          <w:b/>
        </w:rPr>
        <w:t xml:space="preserve">Fix 2: Underselling the Gradient — Add Numbers: </w:t>
      </w:r>
      <w:r>
        <w:t>DONE. Gradient numbers (1.7–5.4% to 50–60%) now appear in abstract paragraph 3 and Section 5 opening.</w:t>
      </w:r>
    </w:p>
    <w:p>
      <w:r>
        <w:rPr>
          <w:b/>
        </w:rPr>
        <w:t xml:space="preserve">Fix 3: Pass-1 Defense — Preempt Reviewer Attack: </w:t>
      </w:r>
      <w:r>
        <w:t>DONE. Added threshold sensitivity mention in Section 3.2.</w:t>
      </w:r>
    </w:p>
    <w:p>
      <w:r>
        <w:rPr>
          <w:b/>
        </w:rPr>
        <w:t xml:space="preserve">Fix 4: Mechanism Section — Assertive, Not Hypothetical: </w:t>
      </w:r>
      <w:r>
        <w:t>PENDING. Section 7 still uses hypothetical framing until mechanism experiment runs.</w:t>
      </w:r>
    </w:p>
    <w:p>
      <w:r>
        <w:rPr>
          <w:b/>
        </w:rPr>
        <w:t xml:space="preserve">Fix 5: Mitigation — Clarify It Is Diagnostic, Not a Method: </w:t>
      </w:r>
      <w:r>
        <w:t>DONE. Added diagnostic framing as first paragraph of Section 8.</w:t>
      </w:r>
    </w:p>
    <w:p>
      <w:r>
        <w:rPr>
          <w:b/>
        </w:rPr>
        <w:t xml:space="preserve">Fix 6: Discussion — Connect to Broader AI Problem: </w:t>
      </w:r>
      <w:r>
        <w:t>DONE. Added broader implications paragraph in Section 10.1.</w:t>
      </w:r>
    </w:p>
    <w:p>
      <w:r>
        <w:rPr>
          <w:b/>
        </w:rPr>
        <w:t xml:space="preserve">Fix 7: Title — Final Options: </w:t>
      </w:r>
      <w:r>
        <w:t>PENDING. Current title retained. Will decide after all results in.</w:t>
      </w:r>
    </w:p>
    <w:p>
      <w:r>
        <w:rPr>
          <w:b/>
        </w:rPr>
        <w:t xml:space="preserve">Fix 8: Motivating Example: </w:t>
      </w:r>
      <w:r>
        <w:t>DONE. Added concrete contract example in Section 1.</w:t>
      </w:r>
    </w:p>
    <w:p>
      <w:r/>
    </w:p>
    <w:p>
      <w:pPr>
        <w:pStyle w:val="Heading2"/>
      </w:pPr>
      <w:r>
        <w:t>Review Score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Area</w:t>
            </w:r>
          </w:p>
        </w:tc>
        <w:tc>
          <w:tcPr>
            <w:tcW w:type="dxa" w:w="4320"/>
          </w:tcPr>
          <w:p>
            <w:pPr>
              <w:jc w:val="center"/>
            </w:pPr>
            <w:r/>
            <w:r>
              <w:rPr>
                <w:rFonts w:ascii="Times New Roman" w:hAnsi="Times New Roman"/>
                <w:b/>
                <w:sz w:val="18"/>
              </w:rPr>
              <w:t>Score</w:t>
            </w:r>
          </w:p>
        </w:tc>
      </w:tr>
      <w:tr>
        <w:tc>
          <w:tcPr>
            <w:tcW w:type="dxa" w:w="4320"/>
          </w:tcPr>
          <w:p>
            <w:pPr>
              <w:jc w:val="center"/>
            </w:pPr>
            <w:r/>
            <w:r>
              <w:rPr>
                <w:rFonts w:ascii="Times New Roman" w:hAnsi="Times New Roman"/>
                <w:sz w:val="18"/>
              </w:rPr>
              <w:t>Idea</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Writing</w:t>
            </w:r>
          </w:p>
        </w:tc>
        <w:tc>
          <w:tcPr>
            <w:tcW w:type="dxa" w:w="4320"/>
          </w:tcPr>
          <w:p>
            <w:pPr>
              <w:jc w:val="center"/>
            </w:pPr>
            <w:r/>
            <w:r>
              <w:rPr>
                <w:rFonts w:ascii="Times New Roman" w:hAnsi="Times New Roman"/>
                <w:sz w:val="18"/>
              </w:rPr>
              <w:t>8.5/10</w:t>
            </w:r>
          </w:p>
        </w:tc>
      </w:tr>
      <w:tr>
        <w:tc>
          <w:tcPr>
            <w:tcW w:type="dxa" w:w="4320"/>
          </w:tcPr>
          <w:p>
            <w:pPr>
              <w:jc w:val="center"/>
            </w:pPr>
            <w:r/>
            <w:r>
              <w:rPr>
                <w:rFonts w:ascii="Times New Roman" w:hAnsi="Times New Roman"/>
                <w:sz w:val="18"/>
              </w:rPr>
              <w:t>Positioning</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Risk</w:t>
            </w:r>
          </w:p>
        </w:tc>
        <w:tc>
          <w:tcPr>
            <w:tcW w:type="dxa" w:w="4320"/>
          </w:tcPr>
          <w:p>
            <w:pPr>
              <w:jc w:val="center"/>
            </w:pPr>
            <w:r/>
            <w:r>
              <w:rPr>
                <w:rFonts w:ascii="Times New Roman" w:hAnsi="Times New Roman"/>
                <w:sz w:val="18"/>
              </w:rPr>
              <w:t>Medium</w:t>
            </w:r>
          </w:p>
        </w:tc>
      </w:tr>
      <w:tr>
        <w:tc>
          <w:tcPr>
            <w:tcW w:type="dxa" w:w="4320"/>
          </w:tcPr>
          <w:p>
            <w:pPr>
              <w:jc w:val="center"/>
            </w:pPr>
            <w:r/>
            <w:r>
              <w:rPr>
                <w:rFonts w:ascii="Times New Roman" w:hAnsi="Times New Roman"/>
                <w:sz w:val="18"/>
              </w:rPr>
              <w:t>Overall</w:t>
            </w:r>
          </w:p>
        </w:tc>
        <w:tc>
          <w:tcPr>
            <w:tcW w:type="dxa" w:w="4320"/>
          </w:tcPr>
          <w:p>
            <w:pPr>
              <w:jc w:val="center"/>
            </w:pPr>
            <w:r/>
            <w:r>
              <w:rPr>
                <w:rFonts w:ascii="Times New Roman" w:hAnsi="Times New Roman"/>
                <w:sz w:val="18"/>
              </w:rPr>
              <w:t>8.7/10</w:t>
            </w:r>
          </w:p>
        </w:tc>
      </w:tr>
    </w:tbl>
    <w:p>
      <w:r>
        <w:t>Verdict: Good enough for EMNLP main. With all fixes applied after results come in, becomes strong accept candidate and moves toward notable paper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