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7B91" w14:textId="744445A7" w:rsidR="0058618B" w:rsidRDefault="0058618B" w:rsidP="007E18CC">
      <w:pPr>
        <w:pStyle w:val="ListParagraph"/>
        <w:numPr>
          <w:ilvl w:val="0"/>
          <w:numId w:val="6"/>
        </w:numPr>
      </w:pPr>
      <w:r>
        <w:t xml:space="preserve">Pharmacovigilance (PV) </w:t>
      </w:r>
    </w:p>
    <w:p w14:paraId="0689300A" w14:textId="77777777" w:rsidR="0058618B" w:rsidRDefault="0058618B" w:rsidP="00F10AB5">
      <w:pPr>
        <w:pStyle w:val="ListParagraph"/>
        <w:numPr>
          <w:ilvl w:val="0"/>
          <w:numId w:val="5"/>
        </w:numPr>
      </w:pPr>
      <w:r>
        <w:t>Pharmacovigilance (PV) is the science of detecting, assessing, understanding and preventing adverse effects or other drug-related problems, especially after a medicine reaches the market.</w:t>
      </w:r>
    </w:p>
    <w:p w14:paraId="58049240" w14:textId="77777777" w:rsidR="0058618B" w:rsidRDefault="0058618B" w:rsidP="007E18CC">
      <w:pPr>
        <w:pStyle w:val="ListParagraph"/>
        <w:numPr>
          <w:ilvl w:val="0"/>
          <w:numId w:val="5"/>
        </w:numPr>
      </w:pPr>
      <w:r>
        <w:t xml:space="preserve">The word Pharmacovigilance comes from </w:t>
      </w:r>
      <w:proofErr w:type="spellStart"/>
      <w:r>
        <w:t>pharmacon</w:t>
      </w:r>
      <w:proofErr w:type="spellEnd"/>
      <w:r>
        <w:t xml:space="preserve"> = drug and vigilance = continuous attention. So, PV basically means keeping continuous watch on the safety of medicines.</w:t>
      </w:r>
    </w:p>
    <w:p w14:paraId="426B77F1" w14:textId="77777777" w:rsidR="0058618B" w:rsidRDefault="0058618B" w:rsidP="007E18CC">
      <w:pPr>
        <w:pStyle w:val="ListParagraph"/>
        <w:numPr>
          <w:ilvl w:val="0"/>
          <w:numId w:val="5"/>
        </w:numPr>
      </w:pPr>
      <w:r>
        <w:t>PV became important because of serious drug-related tragedies in the past, which occurred due to inadequate safety monitoring and safety guidelines.</w:t>
      </w:r>
    </w:p>
    <w:p w14:paraId="2FE53876" w14:textId="77777777" w:rsidR="0058618B" w:rsidRDefault="0058618B" w:rsidP="007E18CC">
      <w:pPr>
        <w:pStyle w:val="ListParagraph"/>
        <w:numPr>
          <w:ilvl w:val="0"/>
          <w:numId w:val="5"/>
        </w:numPr>
      </w:pPr>
      <w:r>
        <w:t>Sulphanilamide Elixir tragedy: Improper formulation/manufacturing of a sulphanilamide preparation caused many deaths, including children.</w:t>
      </w:r>
    </w:p>
    <w:p w14:paraId="07B3CD87" w14:textId="77777777" w:rsidR="0058618B" w:rsidRDefault="0058618B" w:rsidP="007E18CC">
      <w:pPr>
        <w:pStyle w:val="ListParagraph"/>
        <w:numPr>
          <w:ilvl w:val="0"/>
          <w:numId w:val="5"/>
        </w:numPr>
      </w:pPr>
      <w:r>
        <w:t xml:space="preserve">Thalidomide tragedy: Thalidomide was used for morning sickness during pregnancy and caused </w:t>
      </w:r>
      <w:proofErr w:type="spellStart"/>
      <w:r>
        <w:t>phocomelia</w:t>
      </w:r>
      <w:proofErr w:type="spellEnd"/>
      <w:r>
        <w:t xml:space="preserve"> (severe limb deformities) and other birth defects in thousands of babies.</w:t>
      </w:r>
    </w:p>
    <w:p w14:paraId="17E07289" w14:textId="77777777" w:rsidR="0058618B" w:rsidRDefault="0058618B" w:rsidP="007E18CC">
      <w:pPr>
        <w:pStyle w:val="ListParagraph"/>
        <w:numPr>
          <w:ilvl w:val="0"/>
          <w:numId w:val="5"/>
        </w:numPr>
      </w:pPr>
      <w:r>
        <w:t>A drug is tested in limited and controlled patient groups during clinical trials. After marketing, it is used by a much larger and more diverse population, including people with different diseases, genetics, diets, ethnicities and those taking multiple medicines (polypharmacy).</w:t>
      </w:r>
    </w:p>
    <w:p w14:paraId="1896B7FB" w14:textId="77777777" w:rsidR="0058618B" w:rsidRDefault="0058618B" w:rsidP="007E18CC">
      <w:pPr>
        <w:pStyle w:val="ListParagraph"/>
        <w:numPr>
          <w:ilvl w:val="0"/>
          <w:numId w:val="5"/>
        </w:numPr>
      </w:pPr>
      <w:r>
        <w:t>Therefore, some adverse effects may only become apparent after the drug is widely used.</w:t>
      </w:r>
    </w:p>
    <w:p w14:paraId="691CD33A" w14:textId="77777777" w:rsidR="0058618B" w:rsidRDefault="0058618B" w:rsidP="007E18CC">
      <w:pPr>
        <w:pStyle w:val="ListParagraph"/>
        <w:numPr>
          <w:ilvl w:val="0"/>
          <w:numId w:val="5"/>
        </w:numPr>
      </w:pPr>
      <w:r>
        <w:t>PV continues after clinical trials and marketing approval, where safety information is continuously monitored.</w:t>
      </w:r>
    </w:p>
    <w:p w14:paraId="11E03702" w14:textId="77777777" w:rsidR="0058618B" w:rsidRDefault="0058618B" w:rsidP="007E18CC">
      <w:pPr>
        <w:pStyle w:val="ListParagraph"/>
        <w:numPr>
          <w:ilvl w:val="0"/>
          <w:numId w:val="5"/>
        </w:numPr>
      </w:pPr>
      <w:r>
        <w:t>PV professionals collect and assess suspected ADRs reported by patients, doctors, pharmacists and other healthcare professionals, document and report important safety information to relevant stakeholders and regulatory authorities, and help support safety-related changes such as warnings, precautions, indications or product information.</w:t>
      </w:r>
    </w:p>
    <w:p w14:paraId="3BA74684" w14:textId="77777777" w:rsidR="007E18CC" w:rsidRDefault="007E18CC" w:rsidP="007E18CC"/>
    <w:p w14:paraId="71176359" w14:textId="521AA02E" w:rsidR="00C21289" w:rsidRDefault="00C21289" w:rsidP="00605DD1">
      <w:pPr>
        <w:pStyle w:val="ListParagraph"/>
        <w:numPr>
          <w:ilvl w:val="0"/>
          <w:numId w:val="6"/>
        </w:numPr>
      </w:pPr>
      <w:r>
        <w:t>TOXIC EFFECTS OF DRUGS</w:t>
      </w:r>
    </w:p>
    <w:p w14:paraId="294B4CA3" w14:textId="77777777" w:rsidR="00C21289" w:rsidRDefault="00C21289" w:rsidP="00C21289">
      <w:pPr>
        <w:ind w:left="360"/>
      </w:pPr>
      <w:r>
        <w:t>Drug toxicity refers to the harmful or unwanted effects produced by a drug when it causes damage to the body or produces an excessive or abnormal response.</w:t>
      </w:r>
    </w:p>
    <w:p w14:paraId="49E7D248" w14:textId="7590B64F" w:rsidR="009C182E" w:rsidRDefault="009F6D4A" w:rsidP="00B767F7">
      <w:pPr>
        <w:pStyle w:val="ListParagraph"/>
        <w:numPr>
          <w:ilvl w:val="0"/>
          <w:numId w:val="11"/>
        </w:numPr>
      </w:pPr>
      <w:r w:rsidRPr="004A1547">
        <w:rPr>
          <w:b/>
          <w:bCs/>
        </w:rPr>
        <w:t xml:space="preserve">Pharmacological </w:t>
      </w:r>
      <w:r w:rsidR="004A1547">
        <w:rPr>
          <w:b/>
          <w:bCs/>
        </w:rPr>
        <w:t>T</w:t>
      </w:r>
      <w:r w:rsidRPr="004A1547">
        <w:rPr>
          <w:b/>
          <w:bCs/>
        </w:rPr>
        <w:t xml:space="preserve">oxicity </w:t>
      </w:r>
      <w:r w:rsidR="008D62CC">
        <w:t xml:space="preserve">– it </w:t>
      </w:r>
      <w:r>
        <w:t>refers to predictable and usually dose-dependent adverse effects that are related to the known pharmacological action of the drug.</w:t>
      </w:r>
    </w:p>
    <w:p w14:paraId="51B9E9E1" w14:textId="338391EA" w:rsidR="00B767F7" w:rsidRDefault="00B767F7" w:rsidP="00B767F7">
      <w:pPr>
        <w:pStyle w:val="ListParagraph"/>
        <w:numPr>
          <w:ilvl w:val="1"/>
          <w:numId w:val="6"/>
        </w:numPr>
      </w:pPr>
      <w:r w:rsidRPr="004A1547">
        <w:rPr>
          <w:b/>
          <w:bCs/>
          <w:i/>
          <w:iCs/>
        </w:rPr>
        <w:t xml:space="preserve">Primary </w:t>
      </w:r>
      <w:r w:rsidR="00D66B19" w:rsidRPr="004A1547">
        <w:rPr>
          <w:b/>
          <w:bCs/>
          <w:i/>
          <w:iCs/>
        </w:rPr>
        <w:t xml:space="preserve">Effects </w:t>
      </w:r>
      <w:r w:rsidR="00D66B19">
        <w:t>– These occur when the main pharmacological action of the drug becomes excessive.</w:t>
      </w:r>
    </w:p>
    <w:p w14:paraId="16687B8D" w14:textId="5733F768" w:rsidR="00726485" w:rsidRDefault="00726485" w:rsidP="00726485">
      <w:pPr>
        <w:ind w:left="1080"/>
      </w:pPr>
      <w:r>
        <w:lastRenderedPageBreak/>
        <w:t xml:space="preserve">E.g.  </w:t>
      </w:r>
      <w:proofErr w:type="spellStart"/>
      <w:r>
        <w:t>Nifedipine</w:t>
      </w:r>
      <w:proofErr w:type="spellEnd"/>
      <w:r>
        <w:t xml:space="preserve"> → Hypotension: Excessive vasodilation caused by </w:t>
      </w:r>
      <w:proofErr w:type="spellStart"/>
      <w:r>
        <w:t>nifedipine</w:t>
      </w:r>
      <w:proofErr w:type="spellEnd"/>
      <w:r>
        <w:t xml:space="preserve"> can lead to an excessive fall in blood pressure</w:t>
      </w:r>
    </w:p>
    <w:p w14:paraId="00AC1016" w14:textId="78B5CC78" w:rsidR="006E6C05" w:rsidRDefault="00726485" w:rsidP="00726485">
      <w:pPr>
        <w:ind w:left="1080"/>
      </w:pPr>
      <w:r>
        <w:t xml:space="preserve">2. </w:t>
      </w:r>
      <w:r w:rsidRPr="004A1547">
        <w:rPr>
          <w:b/>
          <w:bCs/>
          <w:i/>
          <w:iCs/>
        </w:rPr>
        <w:t xml:space="preserve">Secondary Effects </w:t>
      </w:r>
      <w:r w:rsidR="006E6C05">
        <w:t>– These occur due to a secondary action of the drug rather than its main therapeutic effect.</w:t>
      </w:r>
    </w:p>
    <w:p w14:paraId="4B9F217C" w14:textId="62CCDF13" w:rsidR="00726485" w:rsidRDefault="006E6C05" w:rsidP="00726485">
      <w:pPr>
        <w:ind w:left="1080"/>
      </w:pPr>
      <w:r>
        <w:t>E.g. Broad-spectrum antibiotics → Diarrhoea: They can disrupt the normal intestinal flora, resulting in diarrhoea.</w:t>
      </w:r>
    </w:p>
    <w:p w14:paraId="58E9A1AD" w14:textId="77777777" w:rsidR="006E6C05" w:rsidRDefault="006E6C05" w:rsidP="00726485">
      <w:pPr>
        <w:ind w:left="1080"/>
      </w:pPr>
    </w:p>
    <w:p w14:paraId="708660AC" w14:textId="431082EB" w:rsidR="004A1547" w:rsidRDefault="004A1547" w:rsidP="00DF501A">
      <w:pPr>
        <w:pStyle w:val="ListParagraph"/>
        <w:numPr>
          <w:ilvl w:val="0"/>
          <w:numId w:val="11"/>
        </w:numPr>
      </w:pPr>
      <w:r w:rsidRPr="004A1547">
        <w:rPr>
          <w:b/>
          <w:bCs/>
        </w:rPr>
        <w:t xml:space="preserve">Pathological </w:t>
      </w:r>
      <w:r>
        <w:rPr>
          <w:b/>
          <w:bCs/>
        </w:rPr>
        <w:t>T</w:t>
      </w:r>
      <w:r w:rsidRPr="004A1547">
        <w:rPr>
          <w:b/>
          <w:bCs/>
        </w:rPr>
        <w:t xml:space="preserve">oxicity </w:t>
      </w:r>
      <w:r>
        <w:t>– it occurs when a drug or its metabolite causes direct damage to a body organ or tissue, leading to a pathological condition.</w:t>
      </w:r>
    </w:p>
    <w:p w14:paraId="6E379BAB" w14:textId="77777777" w:rsidR="004A1547" w:rsidRDefault="004A1547" w:rsidP="004A1547">
      <w:pPr>
        <w:pStyle w:val="ListParagraph"/>
        <w:ind w:left="1440"/>
      </w:pPr>
      <w:r>
        <w:t>The toxicity may occur because the drug produces a toxic metabolite, particularly when the normal detoxification mechanism becomes overwhelmed.</w:t>
      </w:r>
    </w:p>
    <w:p w14:paraId="29F56592" w14:textId="24C1DE54" w:rsidR="00DF501A" w:rsidRDefault="00DF501A" w:rsidP="00DF501A">
      <w:pPr>
        <w:pStyle w:val="ListParagraph"/>
        <w:ind w:left="1440"/>
      </w:pPr>
      <w:r>
        <w:t xml:space="preserve">E.g.  </w:t>
      </w:r>
      <w:proofErr w:type="spellStart"/>
      <w:r>
        <w:t>Paracetamol</w:t>
      </w:r>
      <w:proofErr w:type="spellEnd"/>
      <w:r>
        <w:t xml:space="preserve"> - In normal doses, </w:t>
      </w:r>
      <w:proofErr w:type="spellStart"/>
      <w:r>
        <w:t>paracetamol</w:t>
      </w:r>
      <w:proofErr w:type="spellEnd"/>
      <w:r>
        <w:t xml:space="preserve"> is mainly metabolized through safe conjugation </w:t>
      </w:r>
      <w:proofErr w:type="spellStart"/>
      <w:r>
        <w:t>pathways.A</w:t>
      </w:r>
      <w:proofErr w:type="spellEnd"/>
      <w:r>
        <w:t xml:space="preserve"> small amount is converted into a toxic metabolite called NAPQI (N-acetyl-p-benzoquinone imine).Normally, NAPQI is detoxified by glutathione.</w:t>
      </w:r>
    </w:p>
    <w:p w14:paraId="2FC6919C" w14:textId="77777777" w:rsidR="00C55A12" w:rsidRDefault="00C55A12" w:rsidP="00DF501A">
      <w:pPr>
        <w:pStyle w:val="ListParagraph"/>
        <w:ind w:left="1440"/>
      </w:pPr>
    </w:p>
    <w:p w14:paraId="3962E27F" w14:textId="3D6B8CCC" w:rsidR="00C55A12" w:rsidRDefault="00954CB2" w:rsidP="00C55A12">
      <w:pPr>
        <w:pStyle w:val="ListParagraph"/>
        <w:numPr>
          <w:ilvl w:val="0"/>
          <w:numId w:val="11"/>
        </w:numPr>
      </w:pPr>
      <w:proofErr w:type="spellStart"/>
      <w:r>
        <w:rPr>
          <w:b/>
          <w:bCs/>
        </w:rPr>
        <w:t>Genetoxic</w:t>
      </w:r>
      <w:proofErr w:type="spellEnd"/>
      <w:r>
        <w:rPr>
          <w:b/>
          <w:bCs/>
        </w:rPr>
        <w:t xml:space="preserve"> reactions - </w:t>
      </w:r>
      <w:proofErr w:type="spellStart"/>
      <w:r>
        <w:t>Genotoxicity</w:t>
      </w:r>
      <w:proofErr w:type="spellEnd"/>
      <w:r>
        <w:t xml:space="preserve"> refers to the ability of a drug or its metabolites to damage genetic material such as DNA or chromosomes.</w:t>
      </w:r>
    </w:p>
    <w:p w14:paraId="666D135D" w14:textId="77777777" w:rsidR="002F013D" w:rsidRDefault="002F013D" w:rsidP="002F013D">
      <w:pPr>
        <w:pStyle w:val="ListParagraph"/>
        <w:ind w:left="1440"/>
      </w:pPr>
      <w:r>
        <w:t>E.g. Cyclophosphamide → DNA damage → increased risk of secondary malignancies</w:t>
      </w:r>
    </w:p>
    <w:p w14:paraId="361468D3" w14:textId="273CE6C0" w:rsidR="002F013D" w:rsidRDefault="002F013D" w:rsidP="002F013D">
      <w:pPr>
        <w:pStyle w:val="ListParagraph"/>
        <w:ind w:left="1440"/>
      </w:pPr>
      <w:r>
        <w:t xml:space="preserve">Cyclophosphamide is an anticancer alkylating agent. It works partly by damaging DNA in rapidly dividing cancer cells, but it can also damage normal cells and may increase the long-term risk of secondary cancers such as </w:t>
      </w:r>
      <w:proofErr w:type="spellStart"/>
      <w:r>
        <w:t>leukemia</w:t>
      </w:r>
      <w:proofErr w:type="spellEnd"/>
      <w:r>
        <w:t>.</w:t>
      </w:r>
    </w:p>
    <w:p w14:paraId="6556B22F" w14:textId="77777777" w:rsidR="002F013D" w:rsidRPr="002F013D" w:rsidRDefault="002F013D" w:rsidP="002F013D">
      <w:pPr>
        <w:pStyle w:val="ListParagraph"/>
        <w:ind w:left="1440"/>
      </w:pPr>
    </w:p>
    <w:p w14:paraId="1344BC2B" w14:textId="1F1F7D00" w:rsidR="00060D53" w:rsidRDefault="00060D53" w:rsidP="002F013D">
      <w:pPr>
        <w:pStyle w:val="ListParagraph"/>
        <w:numPr>
          <w:ilvl w:val="0"/>
          <w:numId w:val="11"/>
        </w:numPr>
      </w:pPr>
      <w:r w:rsidRPr="00060D53">
        <w:rPr>
          <w:b/>
          <w:bCs/>
        </w:rPr>
        <w:t>Allergic Reactions</w:t>
      </w:r>
      <w:r>
        <w:rPr>
          <w:b/>
          <w:bCs/>
        </w:rPr>
        <w:t xml:space="preserve"> </w:t>
      </w:r>
      <w:r w:rsidR="000E443F">
        <w:rPr>
          <w:b/>
          <w:bCs/>
        </w:rPr>
        <w:t>–</w:t>
      </w:r>
      <w:r>
        <w:rPr>
          <w:b/>
          <w:bCs/>
        </w:rPr>
        <w:t xml:space="preserve"> </w:t>
      </w:r>
      <w:r w:rsidR="000E443F">
        <w:t>These reactions</w:t>
      </w:r>
      <w:r>
        <w:t xml:space="preserve"> are unpredictable, generally non-dose-dependent reactions caused by activation of the immune system against a drug or its metabolites.</w:t>
      </w:r>
    </w:p>
    <w:p w14:paraId="5845D4B3" w14:textId="6E13F2E5" w:rsidR="00C55A12" w:rsidRDefault="00060D53" w:rsidP="00B114C6">
      <w:pPr>
        <w:pStyle w:val="ListParagraph"/>
        <w:ind w:left="1440"/>
      </w:pPr>
      <w:r>
        <w:t>They are not related to the drug’s normal pharmacological action and may occur even at normal therapeutic doses.</w:t>
      </w:r>
      <w:r w:rsidR="00B114C6">
        <w:t xml:space="preserve"> </w:t>
      </w:r>
    </w:p>
    <w:p w14:paraId="02572282" w14:textId="64D66620" w:rsidR="009B4DAF" w:rsidRDefault="009B4DAF" w:rsidP="009B4DAF">
      <w:pPr>
        <w:pStyle w:val="ListParagraph"/>
        <w:numPr>
          <w:ilvl w:val="0"/>
          <w:numId w:val="17"/>
        </w:numPr>
      </w:pPr>
      <w:r>
        <w:t xml:space="preserve">Type I </w:t>
      </w:r>
      <w:r w:rsidR="0053700F">
        <w:t xml:space="preserve">- </w:t>
      </w:r>
      <w:r>
        <w:t>Immediate Hypersensitivity Reaction</w:t>
      </w:r>
    </w:p>
    <w:p w14:paraId="63D38AB9" w14:textId="49509CBD" w:rsidR="009B4DAF" w:rsidRDefault="009B4DAF" w:rsidP="009B4DAF">
      <w:pPr>
        <w:pStyle w:val="ListParagraph"/>
        <w:ind w:left="1440"/>
      </w:pPr>
      <w:r>
        <w:t xml:space="preserve">Type I reactions are immediate, </w:t>
      </w:r>
      <w:proofErr w:type="spellStart"/>
      <w:r>
        <w:t>IgE</w:t>
      </w:r>
      <w:proofErr w:type="spellEnd"/>
      <w:r>
        <w:t xml:space="preserve">-mediated allergic reactions. The allergen binds to </w:t>
      </w:r>
      <w:proofErr w:type="spellStart"/>
      <w:r>
        <w:t>IgE</w:t>
      </w:r>
      <w:proofErr w:type="spellEnd"/>
      <w:r>
        <w:t xml:space="preserve"> antibodies attached to mast cells, causing mast-cell degranulation and release of inflammatory mediators such as histamine.</w:t>
      </w:r>
    </w:p>
    <w:p w14:paraId="16FFE163" w14:textId="77777777" w:rsidR="00C7366A" w:rsidRDefault="009B4DAF" w:rsidP="009B4DAF">
      <w:pPr>
        <w:pStyle w:val="ListParagraph"/>
        <w:ind w:left="1440"/>
      </w:pPr>
      <w:r>
        <w:t xml:space="preserve">E.g. </w:t>
      </w:r>
      <w:r w:rsidR="00C7366A">
        <w:t>Penicillin → Anaphylaxis</w:t>
      </w:r>
    </w:p>
    <w:p w14:paraId="34982120" w14:textId="0DA72E26" w:rsidR="00431118" w:rsidRDefault="00C7366A" w:rsidP="00B12A63">
      <w:pPr>
        <w:pStyle w:val="ListParagraph"/>
        <w:ind w:left="1440"/>
      </w:pPr>
      <w:r>
        <w:lastRenderedPageBreak/>
        <w:t>A patient sensitized to penicillin may develop a rapid and potentially life-threatening allergic reaction after exposure.</w:t>
      </w:r>
      <w:r w:rsidR="00431118">
        <w:t xml:space="preserve"> </w:t>
      </w:r>
    </w:p>
    <w:p w14:paraId="720A1C64" w14:textId="47BCC342" w:rsidR="00431118" w:rsidRDefault="00431118" w:rsidP="00B114C6">
      <w:pPr>
        <w:pStyle w:val="ListParagraph"/>
        <w:numPr>
          <w:ilvl w:val="0"/>
          <w:numId w:val="17"/>
        </w:numPr>
      </w:pPr>
      <w:r>
        <w:t xml:space="preserve">Type II </w:t>
      </w:r>
      <w:r w:rsidR="0053700F">
        <w:t xml:space="preserve">- </w:t>
      </w:r>
      <w:r>
        <w:t>Cytotoxic Reaction</w:t>
      </w:r>
    </w:p>
    <w:p w14:paraId="7D0E20A7" w14:textId="64D971C8" w:rsidR="00431118" w:rsidRDefault="00431118" w:rsidP="00B12A63">
      <w:pPr>
        <w:pStyle w:val="ListParagraph"/>
        <w:ind w:left="1440"/>
      </w:pPr>
      <w:r>
        <w:t>Type II reactions are antibody-mediated reactions in which IgG or IgM antibodies react with antigens present on cell surfaces, resulting in destruction of the cells.</w:t>
      </w:r>
    </w:p>
    <w:p w14:paraId="22CC74ED" w14:textId="3D53DB22" w:rsidR="00431118" w:rsidRDefault="00B12A63" w:rsidP="00B12A63">
      <w:pPr>
        <w:pStyle w:val="ListParagraph"/>
        <w:ind w:left="1440"/>
      </w:pPr>
      <w:r>
        <w:t xml:space="preserve">E.g. </w:t>
      </w:r>
      <w:r w:rsidR="00431118">
        <w:t>Penicillin → Immune-mediated haemolytic anaemia</w:t>
      </w:r>
      <w:r>
        <w:t xml:space="preserve">. </w:t>
      </w:r>
      <w:r w:rsidR="00431118">
        <w:t>Penicillin ca</w:t>
      </w:r>
      <w:r>
        <w:t>n t</w:t>
      </w:r>
      <w:r w:rsidR="00431118">
        <w:t>rigger an immune response against red blood cells, resulting in their destruction.</w:t>
      </w:r>
    </w:p>
    <w:p w14:paraId="77299042" w14:textId="6F08230F" w:rsidR="000F3873" w:rsidRDefault="000F3873" w:rsidP="00B12A63">
      <w:pPr>
        <w:pStyle w:val="ListParagraph"/>
        <w:numPr>
          <w:ilvl w:val="0"/>
          <w:numId w:val="17"/>
        </w:numPr>
      </w:pPr>
      <w:r>
        <w:t xml:space="preserve">Type III </w:t>
      </w:r>
      <w:r w:rsidR="0053700F">
        <w:t xml:space="preserve">- </w:t>
      </w:r>
      <w:r>
        <w:t>Immune Complex-Mediated Reaction</w:t>
      </w:r>
    </w:p>
    <w:p w14:paraId="066B2341" w14:textId="65513B58" w:rsidR="000F3873" w:rsidRDefault="000F3873" w:rsidP="000F3873">
      <w:pPr>
        <w:pStyle w:val="ListParagraph"/>
        <w:ind w:left="1440"/>
      </w:pPr>
      <w:r>
        <w:t>Type III reactions occur when antigen-antibody complexes form and deposit in tissues or blood vessels, activating the complement system and producing inflammation.</w:t>
      </w:r>
    </w:p>
    <w:p w14:paraId="09AD4C9B" w14:textId="614F0FEE" w:rsidR="000F3873" w:rsidRDefault="000F3873" w:rsidP="000F3873">
      <w:pPr>
        <w:ind w:left="1440"/>
      </w:pPr>
      <w:r>
        <w:t xml:space="preserve">E.g. </w:t>
      </w:r>
      <w:proofErr w:type="spellStart"/>
      <w:r>
        <w:t>enicillin</w:t>
      </w:r>
      <w:proofErr w:type="spellEnd"/>
      <w:r>
        <w:t xml:space="preserve"> → Serum sickness-like reaction</w:t>
      </w:r>
    </w:p>
    <w:p w14:paraId="34DB8C6C" w14:textId="5135BB65" w:rsidR="0092516B" w:rsidRDefault="0092516B" w:rsidP="0092516B">
      <w:pPr>
        <w:pStyle w:val="ListParagraph"/>
        <w:numPr>
          <w:ilvl w:val="0"/>
          <w:numId w:val="17"/>
        </w:numPr>
      </w:pPr>
      <w:r>
        <w:t xml:space="preserve">Type IV </w:t>
      </w:r>
      <w:r w:rsidR="0053700F">
        <w:t>-</w:t>
      </w:r>
      <w:r>
        <w:t>Delayed/Cell-Mediated Reaction</w:t>
      </w:r>
    </w:p>
    <w:p w14:paraId="4F9D70D7" w14:textId="281788DC" w:rsidR="0092516B" w:rsidRDefault="0092516B" w:rsidP="0092516B">
      <w:pPr>
        <w:pStyle w:val="ListParagraph"/>
        <w:ind w:left="1440"/>
      </w:pPr>
      <w:r>
        <w:t>Type IV reactions are delayed allergic reactions mediated mainly by sensitized T-lymphocytes rather than antibodies.</w:t>
      </w:r>
    </w:p>
    <w:p w14:paraId="65FEC4B7" w14:textId="77777777" w:rsidR="0092516B" w:rsidRDefault="0092516B" w:rsidP="00C21289">
      <w:pPr>
        <w:pStyle w:val="ListParagraph"/>
        <w:ind w:left="1440"/>
      </w:pPr>
      <w:r>
        <w:t>They usually develop hours to days after exposure.</w:t>
      </w:r>
    </w:p>
    <w:p w14:paraId="5DC5CBD6" w14:textId="693A35CE" w:rsidR="0092516B" w:rsidRDefault="0092516B" w:rsidP="0092516B">
      <w:pPr>
        <w:pStyle w:val="ListParagraph"/>
        <w:ind w:left="1440"/>
      </w:pPr>
      <w:r>
        <w:t xml:space="preserve">E.g. Lamotrigine → Stevens-Johnson Syndrome (SJS)/Toxic Epidermal </w:t>
      </w:r>
      <w:proofErr w:type="spellStart"/>
      <w:r>
        <w:t>Necrolysis</w:t>
      </w:r>
      <w:proofErr w:type="spellEnd"/>
      <w:r>
        <w:t xml:space="preserve"> (TEN)</w:t>
      </w:r>
    </w:p>
    <w:p w14:paraId="21550738" w14:textId="77777777" w:rsidR="0053700F" w:rsidRDefault="0053700F" w:rsidP="0092516B">
      <w:pPr>
        <w:pStyle w:val="ListParagraph"/>
        <w:ind w:left="1440"/>
      </w:pPr>
    </w:p>
    <w:p w14:paraId="4D4DDAF5" w14:textId="432022CA" w:rsidR="004231AA" w:rsidRPr="004231AA" w:rsidRDefault="0053700F" w:rsidP="0053700F">
      <w:pPr>
        <w:pStyle w:val="ListParagraph"/>
        <w:numPr>
          <w:ilvl w:val="0"/>
          <w:numId w:val="11"/>
        </w:numPr>
      </w:pPr>
      <w:r>
        <w:rPr>
          <w:b/>
          <w:bCs/>
        </w:rPr>
        <w:t xml:space="preserve">Idiosyncratic Reactions </w:t>
      </w:r>
      <w:r w:rsidR="004231AA">
        <w:rPr>
          <w:b/>
          <w:bCs/>
        </w:rPr>
        <w:t>–</w:t>
      </w:r>
      <w:r w:rsidRPr="004231AA">
        <w:t xml:space="preserve"> </w:t>
      </w:r>
      <w:r w:rsidR="004231AA" w:rsidRPr="004231AA">
        <w:t xml:space="preserve">Idiosyncratic Reactions </w:t>
      </w:r>
      <w:r w:rsidR="00B11014">
        <w:t>are</w:t>
      </w:r>
      <w:r w:rsidR="004231AA" w:rsidRPr="004231AA">
        <w:t xml:space="preserve"> unpredictable and unusual reactions that occur in susceptible individuals and are not explained by the normal pharmacological action of the drug. They are generally not dose-dependent and are usually not immune-mediated. Some may be related to genetic differences, while the exact mechanism of others may remain unknown</w:t>
      </w:r>
      <w:r w:rsidR="004231AA">
        <w:rPr>
          <w:b/>
          <w:bCs/>
        </w:rPr>
        <w:t>.</w:t>
      </w:r>
    </w:p>
    <w:p w14:paraId="2778C2F9" w14:textId="6A52EB00" w:rsidR="004231AA" w:rsidRDefault="004231AA" w:rsidP="004231AA">
      <w:pPr>
        <w:pStyle w:val="ListParagraph"/>
        <w:ind w:left="1440"/>
      </w:pPr>
      <w:r>
        <w:t>E.g. Chloramphenicol → Aplastic anaemia</w:t>
      </w:r>
    </w:p>
    <w:p w14:paraId="2A0AA443" w14:textId="77777777" w:rsidR="00B11014" w:rsidRDefault="00B11014" w:rsidP="004231AA">
      <w:pPr>
        <w:pStyle w:val="ListParagraph"/>
        <w:ind w:left="1440"/>
      </w:pPr>
    </w:p>
    <w:p w14:paraId="14698EC6" w14:textId="2B5F8498" w:rsidR="00707BCC" w:rsidRDefault="00707BCC" w:rsidP="00C20E4F">
      <w:pPr>
        <w:pStyle w:val="ListParagraph"/>
        <w:numPr>
          <w:ilvl w:val="0"/>
          <w:numId w:val="11"/>
        </w:numPr>
      </w:pPr>
      <w:proofErr w:type="spellStart"/>
      <w:r w:rsidRPr="00707BCC">
        <w:rPr>
          <w:b/>
          <w:bCs/>
        </w:rPr>
        <w:t>Pharmacogenetic</w:t>
      </w:r>
      <w:proofErr w:type="spellEnd"/>
      <w:r w:rsidRPr="00707BCC">
        <w:rPr>
          <w:b/>
          <w:bCs/>
        </w:rPr>
        <w:t xml:space="preserve"> variation</w:t>
      </w:r>
      <w:r>
        <w:rPr>
          <w:b/>
          <w:bCs/>
        </w:rPr>
        <w:t xml:space="preserve"> - </w:t>
      </w:r>
      <w:r>
        <w:t xml:space="preserve"> refers to the effect of genetic differences between individuals on their response to or metabolism of a drug.</w:t>
      </w:r>
    </w:p>
    <w:p w14:paraId="3096F3FC" w14:textId="0A6E8F11" w:rsidR="00707BCC" w:rsidRDefault="00707BCC" w:rsidP="00707BCC">
      <w:pPr>
        <w:pStyle w:val="ListParagraph"/>
        <w:ind w:left="1440"/>
      </w:pPr>
      <w:r>
        <w:t>Because of these genetic differences, the same drug and dose may be</w:t>
      </w:r>
    </w:p>
    <w:p w14:paraId="2A1ACAE9" w14:textId="77777777" w:rsidR="00707BCC" w:rsidRDefault="00707BCC" w:rsidP="00707BCC">
      <w:pPr>
        <w:pStyle w:val="ListParagraph"/>
        <w:ind w:left="1440"/>
      </w:pPr>
      <w:r>
        <w:t>Safe and effective in one person → harmful or ineffective in another person.</w:t>
      </w:r>
    </w:p>
    <w:p w14:paraId="35F35C05" w14:textId="77777777" w:rsidR="00707BCC" w:rsidRDefault="00707BCC" w:rsidP="00707BCC">
      <w:pPr>
        <w:pStyle w:val="ListParagraph"/>
        <w:ind w:left="1440"/>
      </w:pPr>
      <w:r>
        <w:t xml:space="preserve">E.g. G6PD deficiency + </w:t>
      </w:r>
      <w:proofErr w:type="spellStart"/>
      <w:r>
        <w:t>Primaquine</w:t>
      </w:r>
      <w:proofErr w:type="spellEnd"/>
      <w:r>
        <w:t xml:space="preserve"> → Haemolytic anaemia</w:t>
      </w:r>
    </w:p>
    <w:p w14:paraId="541E08BA" w14:textId="77777777" w:rsidR="00707BCC" w:rsidRDefault="00707BCC" w:rsidP="00707BCC">
      <w:pPr>
        <w:pStyle w:val="ListParagraph"/>
        <w:ind w:left="1440"/>
      </w:pPr>
      <w:r>
        <w:t xml:space="preserve">Patients with G6PD deficiency are more susceptible to oxidative stress. </w:t>
      </w:r>
      <w:proofErr w:type="spellStart"/>
      <w:r>
        <w:t>Primaquine</w:t>
      </w:r>
      <w:proofErr w:type="spellEnd"/>
      <w:r>
        <w:t xml:space="preserve"> can cause destruction of red blood cells and result in haemolytic anaemia in these patients.</w:t>
      </w:r>
    </w:p>
    <w:p w14:paraId="3FA73033" w14:textId="77777777" w:rsidR="00107720" w:rsidRDefault="00107720" w:rsidP="00707BCC">
      <w:pPr>
        <w:pStyle w:val="ListParagraph"/>
        <w:ind w:left="1440"/>
      </w:pPr>
    </w:p>
    <w:p w14:paraId="1E7204B2" w14:textId="77777777" w:rsidR="0009494C" w:rsidRDefault="00107720" w:rsidP="00107720">
      <w:pPr>
        <w:pStyle w:val="ListParagraph"/>
        <w:numPr>
          <w:ilvl w:val="0"/>
          <w:numId w:val="11"/>
        </w:numPr>
      </w:pPr>
      <w:r>
        <w:rPr>
          <w:b/>
          <w:bCs/>
        </w:rPr>
        <w:lastRenderedPageBreak/>
        <w:t xml:space="preserve">Teratogenicity - </w:t>
      </w:r>
      <w:r>
        <w:t xml:space="preserve"> </w:t>
      </w:r>
      <w:r w:rsidR="0009494C">
        <w:t xml:space="preserve">Teratogenicity: Ability of a drug to cause </w:t>
      </w:r>
      <w:proofErr w:type="spellStart"/>
      <w:r w:rsidR="0009494C">
        <w:t>fetal</w:t>
      </w:r>
      <w:proofErr w:type="spellEnd"/>
      <w:r w:rsidR="0009494C">
        <w:t xml:space="preserve"> harm, such as congenital abnormalities, functional disorders, or miscarriage.</w:t>
      </w:r>
    </w:p>
    <w:p w14:paraId="172AF350" w14:textId="77777777" w:rsidR="0009494C" w:rsidRDefault="0009494C" w:rsidP="000A3916">
      <w:pPr>
        <w:pStyle w:val="ListParagraph"/>
        <w:numPr>
          <w:ilvl w:val="0"/>
          <w:numId w:val="19"/>
        </w:numPr>
      </w:pPr>
      <w:r>
        <w:t>18–55 days: Most vulnerable period → major congenital abnormalities</w:t>
      </w:r>
    </w:p>
    <w:p w14:paraId="65C504F3" w14:textId="77777777" w:rsidR="0009494C" w:rsidRDefault="0009494C" w:rsidP="000A3916">
      <w:pPr>
        <w:pStyle w:val="ListParagraph"/>
        <w:numPr>
          <w:ilvl w:val="0"/>
          <w:numId w:val="19"/>
        </w:numPr>
      </w:pPr>
      <w:r>
        <w:t>After 56 days: Mainly functional/developmental disorders</w:t>
      </w:r>
    </w:p>
    <w:p w14:paraId="525BC3A8" w14:textId="77777777" w:rsidR="0009494C" w:rsidRDefault="0009494C" w:rsidP="000A3916">
      <w:pPr>
        <w:pStyle w:val="ListParagraph"/>
        <w:numPr>
          <w:ilvl w:val="0"/>
          <w:numId w:val="19"/>
        </w:numPr>
      </w:pPr>
      <w:r>
        <w:t>Risk depends on: Drug + dose + duration + stage of pregnancy</w:t>
      </w:r>
    </w:p>
    <w:p w14:paraId="256DD4A8" w14:textId="6E56C8FD" w:rsidR="0009494C" w:rsidRDefault="0009494C" w:rsidP="000A3916">
      <w:pPr>
        <w:pStyle w:val="ListParagraph"/>
        <w:ind w:left="1440"/>
      </w:pPr>
    </w:p>
    <w:p w14:paraId="0183F598" w14:textId="4E21334F" w:rsidR="0009494C" w:rsidRPr="00720DF9" w:rsidRDefault="0009494C" w:rsidP="000A3916">
      <w:pPr>
        <w:pStyle w:val="ListParagraph"/>
        <w:numPr>
          <w:ilvl w:val="0"/>
          <w:numId w:val="20"/>
        </w:numPr>
        <w:rPr>
          <w:b/>
          <w:bCs/>
        </w:rPr>
      </w:pPr>
      <w:r w:rsidRPr="00720DF9">
        <w:rPr>
          <w:b/>
          <w:bCs/>
        </w:rPr>
        <w:t>Category A</w:t>
      </w:r>
    </w:p>
    <w:p w14:paraId="3E71836A" w14:textId="2AF9D41F" w:rsidR="0009494C" w:rsidRDefault="0009494C" w:rsidP="000A3916">
      <w:pPr>
        <w:pStyle w:val="ListParagraph"/>
        <w:ind w:left="1440"/>
      </w:pPr>
      <w:r>
        <w:t xml:space="preserve">No significant </w:t>
      </w:r>
      <w:proofErr w:type="spellStart"/>
      <w:r>
        <w:t>fetal</w:t>
      </w:r>
      <w:proofErr w:type="spellEnd"/>
      <w:r>
        <w:t xml:space="preserve"> risk found in controlled human studies.</w:t>
      </w:r>
    </w:p>
    <w:p w14:paraId="23CB4005" w14:textId="77777777" w:rsidR="0009494C" w:rsidRDefault="0009494C" w:rsidP="000A3916">
      <w:pPr>
        <w:pStyle w:val="ListParagraph"/>
        <w:ind w:left="1440"/>
      </w:pPr>
      <w:r>
        <w:t>Example: Levothyroxine → thyroid hormone replacement; considered safe when appropriately used during pregnancy.</w:t>
      </w:r>
    </w:p>
    <w:p w14:paraId="592A4DB8" w14:textId="77777777" w:rsidR="000A3916" w:rsidRDefault="000A3916" w:rsidP="000A3916">
      <w:pPr>
        <w:pStyle w:val="ListParagraph"/>
        <w:ind w:left="1440"/>
      </w:pPr>
    </w:p>
    <w:p w14:paraId="336F958A" w14:textId="77777777" w:rsidR="000A3916" w:rsidRPr="00720DF9" w:rsidRDefault="0009494C" w:rsidP="000A3916">
      <w:pPr>
        <w:pStyle w:val="ListParagraph"/>
        <w:numPr>
          <w:ilvl w:val="0"/>
          <w:numId w:val="20"/>
        </w:numPr>
        <w:rPr>
          <w:b/>
          <w:bCs/>
        </w:rPr>
      </w:pPr>
      <w:r w:rsidRPr="00720DF9">
        <w:rPr>
          <w:b/>
          <w:bCs/>
        </w:rPr>
        <w:t>Category B</w:t>
      </w:r>
    </w:p>
    <w:p w14:paraId="4500D0A9" w14:textId="77777777" w:rsidR="000A3916" w:rsidRDefault="0009494C" w:rsidP="000A3916">
      <w:pPr>
        <w:ind w:left="1440"/>
      </w:pPr>
      <w:r>
        <w:t>No fetal risk shown in animal studies, but adequate human studies are unavailable.</w:t>
      </w:r>
      <w:r w:rsidR="000A3916">
        <w:t xml:space="preserve"> </w:t>
      </w:r>
    </w:p>
    <w:p w14:paraId="55CAD94C" w14:textId="65C4ABD4" w:rsidR="0009494C" w:rsidRDefault="0009494C" w:rsidP="000A3916">
      <w:pPr>
        <w:ind w:left="1440"/>
      </w:pPr>
      <w:r>
        <w:t xml:space="preserve">Example: Amoxicillin → commonly used antibiotic with no evidence of </w:t>
      </w:r>
      <w:proofErr w:type="spellStart"/>
      <w:r>
        <w:t>fetal</w:t>
      </w:r>
      <w:proofErr w:type="spellEnd"/>
      <w:r>
        <w:t xml:space="preserve"> harm in animal studies.</w:t>
      </w:r>
    </w:p>
    <w:p w14:paraId="71D80978" w14:textId="77777777" w:rsidR="005D04FE" w:rsidRDefault="005D04FE" w:rsidP="000A3916">
      <w:pPr>
        <w:ind w:left="1440"/>
      </w:pPr>
    </w:p>
    <w:p w14:paraId="61FF0B2E" w14:textId="77777777" w:rsidR="0009494C" w:rsidRPr="00720DF9" w:rsidRDefault="0009494C" w:rsidP="000A3916">
      <w:pPr>
        <w:pStyle w:val="ListParagraph"/>
        <w:numPr>
          <w:ilvl w:val="0"/>
          <w:numId w:val="20"/>
        </w:numPr>
        <w:rPr>
          <w:b/>
          <w:bCs/>
        </w:rPr>
      </w:pPr>
      <w:r w:rsidRPr="00720DF9">
        <w:rPr>
          <w:b/>
          <w:bCs/>
        </w:rPr>
        <w:t>Category C</w:t>
      </w:r>
    </w:p>
    <w:p w14:paraId="1501C1FF" w14:textId="77777777" w:rsidR="005D04FE" w:rsidRDefault="005D04FE" w:rsidP="005D04FE">
      <w:pPr>
        <w:ind w:left="1440"/>
      </w:pPr>
      <w:proofErr w:type="spellStart"/>
      <w:r>
        <w:t>Fetal</w:t>
      </w:r>
      <w:proofErr w:type="spellEnd"/>
      <w:r>
        <w:t xml:space="preserve"> </w:t>
      </w:r>
      <w:r w:rsidR="0009494C">
        <w:t>risk cannot be ruled out; use when potential benefits justify the risk.</w:t>
      </w:r>
    </w:p>
    <w:p w14:paraId="51D7D0C6" w14:textId="2B7A7C5D" w:rsidR="0009494C" w:rsidRDefault="0009494C" w:rsidP="005D04FE">
      <w:pPr>
        <w:ind w:left="1440"/>
      </w:pPr>
      <w:r>
        <w:t xml:space="preserve">Example: Fluconazole → antifungal drug; certain exposures, especially higher/prolonged doses, may be associated with </w:t>
      </w:r>
      <w:proofErr w:type="spellStart"/>
      <w:r>
        <w:t>fetal</w:t>
      </w:r>
      <w:proofErr w:type="spellEnd"/>
      <w:r>
        <w:t xml:space="preserve"> abnormalities.</w:t>
      </w:r>
    </w:p>
    <w:p w14:paraId="554C0825" w14:textId="77777777" w:rsidR="005D04FE" w:rsidRDefault="005D04FE" w:rsidP="005D04FE">
      <w:pPr>
        <w:ind w:left="1440"/>
      </w:pPr>
    </w:p>
    <w:p w14:paraId="5F710C2D" w14:textId="77777777" w:rsidR="0009494C" w:rsidRPr="00720DF9" w:rsidRDefault="0009494C" w:rsidP="000A3916">
      <w:pPr>
        <w:pStyle w:val="ListParagraph"/>
        <w:numPr>
          <w:ilvl w:val="0"/>
          <w:numId w:val="20"/>
        </w:numPr>
        <w:rPr>
          <w:b/>
          <w:bCs/>
        </w:rPr>
      </w:pPr>
      <w:r w:rsidRPr="00720DF9">
        <w:rPr>
          <w:b/>
          <w:bCs/>
        </w:rPr>
        <w:t>Category D</w:t>
      </w:r>
    </w:p>
    <w:p w14:paraId="5C444E2A" w14:textId="77777777" w:rsidR="00720DF9" w:rsidRDefault="0009494C" w:rsidP="00720DF9">
      <w:pPr>
        <w:ind w:left="1440"/>
      </w:pPr>
      <w:r>
        <w:t xml:space="preserve"> Evidence of </w:t>
      </w:r>
      <w:proofErr w:type="spellStart"/>
      <w:r>
        <w:t>fetal</w:t>
      </w:r>
      <w:proofErr w:type="spellEnd"/>
      <w:r>
        <w:t xml:space="preserve"> risk exists, but benefits may outweigh the risk in serious maternal conditions.</w:t>
      </w:r>
    </w:p>
    <w:p w14:paraId="3677238C" w14:textId="2B75AB95" w:rsidR="0009494C" w:rsidRDefault="0009494C" w:rsidP="00720DF9">
      <w:pPr>
        <w:ind w:left="1440"/>
      </w:pPr>
      <w:r>
        <w:t xml:space="preserve">Example: Phenytoin → controls epilepsy but may cause </w:t>
      </w:r>
      <w:proofErr w:type="spellStart"/>
      <w:r>
        <w:t>fetal</w:t>
      </w:r>
      <w:proofErr w:type="spellEnd"/>
      <w:r>
        <w:t xml:space="preserve"> </w:t>
      </w:r>
      <w:proofErr w:type="spellStart"/>
      <w:r>
        <w:t>hydantoin</w:t>
      </w:r>
      <w:proofErr w:type="spellEnd"/>
      <w:r>
        <w:t xml:space="preserve"> syndrome.</w:t>
      </w:r>
    </w:p>
    <w:p w14:paraId="5DB6B1D7" w14:textId="77777777" w:rsidR="00720DF9" w:rsidRDefault="00720DF9" w:rsidP="00720DF9">
      <w:pPr>
        <w:ind w:left="1440"/>
      </w:pPr>
    </w:p>
    <w:p w14:paraId="139B767F" w14:textId="77777777" w:rsidR="0009494C" w:rsidRPr="00720DF9" w:rsidRDefault="0009494C" w:rsidP="000A3916">
      <w:pPr>
        <w:pStyle w:val="ListParagraph"/>
        <w:numPr>
          <w:ilvl w:val="0"/>
          <w:numId w:val="20"/>
        </w:numPr>
        <w:rPr>
          <w:b/>
          <w:bCs/>
        </w:rPr>
      </w:pPr>
      <w:r w:rsidRPr="00720DF9">
        <w:rPr>
          <w:b/>
          <w:bCs/>
        </w:rPr>
        <w:t>Category X</w:t>
      </w:r>
    </w:p>
    <w:p w14:paraId="4A140D40" w14:textId="602119A0" w:rsidR="00720DF9" w:rsidRDefault="0009494C" w:rsidP="00720DF9">
      <w:pPr>
        <w:ind w:left="1440"/>
      </w:pPr>
      <w:proofErr w:type="spellStart"/>
      <w:r>
        <w:t>Fetal</w:t>
      </w:r>
      <w:proofErr w:type="spellEnd"/>
      <w:r>
        <w:t xml:space="preserve"> risk clearly outweighs any possible benefit; contraindicated in pregnancy.</w:t>
      </w:r>
    </w:p>
    <w:p w14:paraId="62CE545B" w14:textId="3F94C9F2" w:rsidR="0009494C" w:rsidRDefault="0009494C" w:rsidP="00720DF9">
      <w:pPr>
        <w:ind w:left="1440"/>
      </w:pPr>
      <w:r>
        <w:lastRenderedPageBreak/>
        <w:t>Example: Thalidomide → can cause severe limb defects (</w:t>
      </w:r>
      <w:proofErr w:type="spellStart"/>
      <w:r>
        <w:t>phocomelia</w:t>
      </w:r>
      <w:proofErr w:type="spellEnd"/>
      <w:r>
        <w:t xml:space="preserve">) in the </w:t>
      </w:r>
      <w:proofErr w:type="spellStart"/>
      <w:r>
        <w:t>fetus</w:t>
      </w:r>
      <w:proofErr w:type="spellEnd"/>
      <w:r>
        <w:t>.</w:t>
      </w:r>
    </w:p>
    <w:p w14:paraId="3EB284D6" w14:textId="77777777" w:rsidR="00F2785F" w:rsidRDefault="00F2785F" w:rsidP="00720DF9">
      <w:pPr>
        <w:ind w:left="1440"/>
      </w:pPr>
    </w:p>
    <w:p w14:paraId="66AADE77" w14:textId="77777777" w:rsidR="00226149" w:rsidRPr="00226149" w:rsidRDefault="00226149" w:rsidP="00226149">
      <w:pPr>
        <w:pStyle w:val="ListParagraph"/>
        <w:numPr>
          <w:ilvl w:val="0"/>
          <w:numId w:val="6"/>
        </w:numPr>
        <w:rPr>
          <w:b/>
          <w:bCs/>
          <w:u w:val="single"/>
        </w:rPr>
      </w:pPr>
      <w:r w:rsidRPr="00226149">
        <w:rPr>
          <w:b/>
          <w:bCs/>
          <w:u w:val="single"/>
        </w:rPr>
        <w:t>Categorization of ADRs</w:t>
      </w:r>
    </w:p>
    <w:p w14:paraId="1B454057" w14:textId="55D93C4D" w:rsidR="000170E5" w:rsidRDefault="00226149" w:rsidP="00DA0D86">
      <w:pPr>
        <w:ind w:left="360"/>
      </w:pPr>
      <w:r>
        <w:t xml:space="preserve"> According to Time of Onset</w:t>
      </w:r>
    </w:p>
    <w:p w14:paraId="773D1BEA" w14:textId="77777777" w:rsidR="001F702F" w:rsidRDefault="001F702F" w:rsidP="00C960A9">
      <w:pPr>
        <w:pStyle w:val="ListParagraph"/>
        <w:numPr>
          <w:ilvl w:val="2"/>
          <w:numId w:val="23"/>
        </w:numPr>
      </w:pPr>
      <w:r w:rsidRPr="001F702F">
        <w:rPr>
          <w:b/>
          <w:bCs/>
        </w:rPr>
        <w:t>Acute</w:t>
      </w:r>
      <w:r>
        <w:t>: Occurs within &lt;60 minutes of drug administration.</w:t>
      </w:r>
    </w:p>
    <w:p w14:paraId="7BC09623" w14:textId="2BAA91B8" w:rsidR="00226149" w:rsidRDefault="00226149" w:rsidP="00C960A9">
      <w:pPr>
        <w:pStyle w:val="ListParagraph"/>
        <w:numPr>
          <w:ilvl w:val="2"/>
          <w:numId w:val="23"/>
        </w:numPr>
      </w:pPr>
      <w:r w:rsidRPr="001F702F">
        <w:rPr>
          <w:b/>
          <w:bCs/>
        </w:rPr>
        <w:t>Sub</w:t>
      </w:r>
      <w:r w:rsidR="001F702F">
        <w:rPr>
          <w:b/>
          <w:bCs/>
        </w:rPr>
        <w:t>-a</w:t>
      </w:r>
      <w:r w:rsidRPr="001F702F">
        <w:rPr>
          <w:b/>
          <w:bCs/>
        </w:rPr>
        <w:t>cute</w:t>
      </w:r>
      <w:r>
        <w:t>: Occurs within 60 minutes–24 hours.</w:t>
      </w:r>
    </w:p>
    <w:p w14:paraId="264CB760" w14:textId="77777777" w:rsidR="00226149" w:rsidRDefault="00226149" w:rsidP="00C960A9">
      <w:pPr>
        <w:pStyle w:val="ListParagraph"/>
        <w:numPr>
          <w:ilvl w:val="2"/>
          <w:numId w:val="23"/>
        </w:numPr>
      </w:pPr>
      <w:r w:rsidRPr="001F702F">
        <w:rPr>
          <w:b/>
          <w:bCs/>
        </w:rPr>
        <w:t>Latent</w:t>
      </w:r>
      <w:r>
        <w:t>: Occurs after 2 days or later following drug exposure.</w:t>
      </w:r>
    </w:p>
    <w:p w14:paraId="68239EB0" w14:textId="2ECE135C" w:rsidR="00226149" w:rsidRDefault="00DA0D86" w:rsidP="001F702F">
      <w:r>
        <w:t xml:space="preserve">         </w:t>
      </w:r>
      <w:r w:rsidR="00226149">
        <w:t>According to Severity</w:t>
      </w:r>
    </w:p>
    <w:p w14:paraId="398BA459" w14:textId="77777777" w:rsidR="00226149" w:rsidRDefault="00226149" w:rsidP="00C960A9">
      <w:pPr>
        <w:pStyle w:val="ListParagraph"/>
        <w:numPr>
          <w:ilvl w:val="2"/>
          <w:numId w:val="23"/>
        </w:numPr>
      </w:pPr>
      <w:r w:rsidRPr="00DA0D86">
        <w:rPr>
          <w:b/>
          <w:bCs/>
        </w:rPr>
        <w:t>Minor</w:t>
      </w:r>
      <w:r>
        <w:t>: No specific treatment, hospitalization, or antidote required.</w:t>
      </w:r>
    </w:p>
    <w:p w14:paraId="3D2CBF14" w14:textId="77777777" w:rsidR="00226149" w:rsidRDefault="00226149" w:rsidP="00C960A9">
      <w:pPr>
        <w:pStyle w:val="ListParagraph"/>
        <w:numPr>
          <w:ilvl w:val="2"/>
          <w:numId w:val="23"/>
        </w:numPr>
      </w:pPr>
      <w:r w:rsidRPr="00DA0D86">
        <w:rPr>
          <w:b/>
          <w:bCs/>
        </w:rPr>
        <w:t>Moderate</w:t>
      </w:r>
      <w:r>
        <w:t>: Requires change in therapy or additional treatment; hospitalization may sometimes be needed.</w:t>
      </w:r>
    </w:p>
    <w:p w14:paraId="78AB2672" w14:textId="77777777" w:rsidR="00226149" w:rsidRDefault="00226149" w:rsidP="00C960A9">
      <w:pPr>
        <w:pStyle w:val="ListParagraph"/>
        <w:numPr>
          <w:ilvl w:val="2"/>
          <w:numId w:val="23"/>
        </w:numPr>
      </w:pPr>
      <w:r w:rsidRPr="00DA0D86">
        <w:rPr>
          <w:b/>
          <w:bCs/>
        </w:rPr>
        <w:t>Severe</w:t>
      </w:r>
      <w:r>
        <w:t>: Life-threatening or causes permanent damage; requires intensive treatment.</w:t>
      </w:r>
    </w:p>
    <w:p w14:paraId="58EEEEDB" w14:textId="77777777" w:rsidR="00226149" w:rsidRDefault="00226149" w:rsidP="00C960A9">
      <w:pPr>
        <w:pStyle w:val="ListParagraph"/>
        <w:numPr>
          <w:ilvl w:val="2"/>
          <w:numId w:val="23"/>
        </w:numPr>
      </w:pPr>
      <w:r w:rsidRPr="00DA0D86">
        <w:rPr>
          <w:b/>
          <w:bCs/>
        </w:rPr>
        <w:t>Lethal</w:t>
      </w:r>
      <w:r>
        <w:t>: Results in death of the patient.</w:t>
      </w:r>
    </w:p>
    <w:p w14:paraId="2543A25A" w14:textId="208724B7" w:rsidR="007E18CC" w:rsidRDefault="007E18CC" w:rsidP="00C960A9">
      <w:pPr>
        <w:pStyle w:val="ListParagraph"/>
        <w:ind w:left="1440"/>
      </w:pPr>
    </w:p>
    <w:p w14:paraId="76C12114" w14:textId="77777777" w:rsidR="000B3A0A" w:rsidRDefault="000B3A0A" w:rsidP="00C960A9">
      <w:pPr>
        <w:pStyle w:val="ListParagraph"/>
        <w:ind w:left="1440"/>
      </w:pPr>
    </w:p>
    <w:p w14:paraId="3FF6AE4B" w14:textId="77777777" w:rsidR="000B3A0A" w:rsidRDefault="000B3A0A" w:rsidP="00C960A9">
      <w:pPr>
        <w:pStyle w:val="ListParagraph"/>
        <w:ind w:left="1440"/>
      </w:pPr>
    </w:p>
    <w:p w14:paraId="257B23B8" w14:textId="77777777" w:rsidR="0082665F" w:rsidRDefault="0082665F" w:rsidP="00C960A9">
      <w:pPr>
        <w:pStyle w:val="ListParagraph"/>
        <w:ind w:left="1440"/>
      </w:pPr>
    </w:p>
    <w:p w14:paraId="67397DBC" w14:textId="77777777" w:rsidR="0082665F" w:rsidRDefault="0082665F" w:rsidP="00C960A9">
      <w:pPr>
        <w:pStyle w:val="ListParagraph"/>
        <w:ind w:left="1440"/>
      </w:pPr>
    </w:p>
    <w:p w14:paraId="52999662" w14:textId="77777777" w:rsidR="0082665F" w:rsidRDefault="0082665F" w:rsidP="00C960A9">
      <w:pPr>
        <w:pStyle w:val="ListParagraph"/>
        <w:ind w:left="1440"/>
      </w:pPr>
    </w:p>
    <w:p w14:paraId="6264B18F" w14:textId="6DB7B4C1" w:rsidR="0082665F" w:rsidRDefault="00CC2F3F" w:rsidP="0082665F">
      <w:r>
        <w:rPr>
          <w:noProof/>
        </w:rPr>
        <w:lastRenderedPageBreak/>
        <w:drawing>
          <wp:anchor distT="0" distB="0" distL="114300" distR="114300" simplePos="0" relativeHeight="251659264" behindDoc="0" locked="0" layoutInCell="1" allowOverlap="1" wp14:anchorId="52F408D6" wp14:editId="7A3120B5">
            <wp:simplePos x="0" y="0"/>
            <wp:positionH relativeFrom="column">
              <wp:posOffset>0</wp:posOffset>
            </wp:positionH>
            <wp:positionV relativeFrom="paragraph">
              <wp:posOffset>0</wp:posOffset>
            </wp:positionV>
            <wp:extent cx="5817870" cy="8229600"/>
            <wp:effectExtent l="0" t="0" r="0" b="0"/>
            <wp:wrapTopAndBottom/>
            <wp:docPr id="11090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3519" name="Picture 11090235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anchor>
        </w:drawing>
      </w:r>
    </w:p>
    <w:p w14:paraId="6E8B0DD7" w14:textId="77777777" w:rsidR="000D4508" w:rsidRDefault="0082665F" w:rsidP="004D1700">
      <w:r>
        <w:lastRenderedPageBreak/>
        <w:t xml:space="preserve">WHAT I LEARNED </w:t>
      </w:r>
      <w:r w:rsidR="000D4508">
        <w:t xml:space="preserve">-: </w:t>
      </w:r>
    </w:p>
    <w:p w14:paraId="4BFCADE4" w14:textId="77B4CF8B" w:rsidR="0082665F" w:rsidRDefault="0082665F" w:rsidP="004D1700">
      <w:pPr>
        <w:pStyle w:val="ListParagraph"/>
        <w:numPr>
          <w:ilvl w:val="0"/>
          <w:numId w:val="6"/>
        </w:numPr>
      </w:pPr>
      <w:r>
        <w:t>Learned the basic concepts of Pharmacovigilance (PV) and ADR identification.</w:t>
      </w:r>
    </w:p>
    <w:p w14:paraId="37A7CFBB" w14:textId="77777777" w:rsidR="0082665F" w:rsidRDefault="0082665F" w:rsidP="004D1700">
      <w:pPr>
        <w:pStyle w:val="ListParagraph"/>
        <w:numPr>
          <w:ilvl w:val="0"/>
          <w:numId w:val="6"/>
        </w:numPr>
      </w:pPr>
      <w:r>
        <w:t>Understood the different types of drug toxicities and their effects.</w:t>
      </w:r>
    </w:p>
    <w:p w14:paraId="3BD912D9" w14:textId="77777777" w:rsidR="0082665F" w:rsidRDefault="0082665F" w:rsidP="004D1700">
      <w:pPr>
        <w:pStyle w:val="ListParagraph"/>
        <w:numPr>
          <w:ilvl w:val="0"/>
          <w:numId w:val="6"/>
        </w:numPr>
      </w:pPr>
      <w:r>
        <w:t>Learned how to identify, assess, and document an ADR.</w:t>
      </w:r>
    </w:p>
    <w:p w14:paraId="11B4E77A" w14:textId="77777777" w:rsidR="0082665F" w:rsidRDefault="0082665F" w:rsidP="004D1700">
      <w:pPr>
        <w:pStyle w:val="ListParagraph"/>
        <w:numPr>
          <w:ilvl w:val="0"/>
          <w:numId w:val="6"/>
        </w:numPr>
      </w:pPr>
      <w:r>
        <w:t>Gained practical knowledge of filling an ADR reporting form using a patient case.</w:t>
      </w:r>
    </w:p>
    <w:p w14:paraId="2CE992FD" w14:textId="6420E239" w:rsidR="000B3A0A" w:rsidRDefault="000B3A0A" w:rsidP="00C960A9">
      <w:pPr>
        <w:pStyle w:val="ListParagraph"/>
        <w:ind w:left="1440"/>
      </w:pPr>
    </w:p>
    <w:sectPr w:rsidR="000B3A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0EE1"/>
    <w:multiLevelType w:val="hybridMultilevel"/>
    <w:tmpl w:val="E7CAF17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11329A8"/>
    <w:multiLevelType w:val="hybridMultilevel"/>
    <w:tmpl w:val="4BC89404"/>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11FC203E"/>
    <w:multiLevelType w:val="hybridMultilevel"/>
    <w:tmpl w:val="D6BC9B3E"/>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824A0C"/>
    <w:multiLevelType w:val="hybridMultilevel"/>
    <w:tmpl w:val="C3BA3E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F324B7"/>
    <w:multiLevelType w:val="hybridMultilevel"/>
    <w:tmpl w:val="B6F2E6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D523B"/>
    <w:multiLevelType w:val="hybridMultilevel"/>
    <w:tmpl w:val="CB6E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8016B"/>
    <w:multiLevelType w:val="hybridMultilevel"/>
    <w:tmpl w:val="71AC5CA2"/>
    <w:lvl w:ilvl="0" w:tplc="1F3478B6">
      <w:start w:val="1"/>
      <w:numFmt w:val="decimal"/>
      <w:lvlText w:val="%1."/>
      <w:lvlJc w:val="left"/>
      <w:pPr>
        <w:ind w:left="1440" w:hanging="360"/>
      </w:pPr>
      <w:rPr>
        <w:rFonts w:asciiTheme="minorHAnsi" w:eastAsiaTheme="minorEastAsia" w:hAnsiTheme="min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583535"/>
    <w:multiLevelType w:val="hybridMultilevel"/>
    <w:tmpl w:val="50CAC7C6"/>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28CA1A73"/>
    <w:multiLevelType w:val="hybridMultilevel"/>
    <w:tmpl w:val="94504D5C"/>
    <w:lvl w:ilvl="0" w:tplc="04090009">
      <w:start w:val="1"/>
      <w:numFmt w:val="bullet"/>
      <w:lvlText w:val=""/>
      <w:lvlJc w:val="left"/>
      <w:pPr>
        <w:ind w:left="720" w:hanging="360"/>
      </w:pPr>
      <w:rPr>
        <w:rFonts w:ascii="Wingdings" w:hAnsi="Wingdings" w:hint="default"/>
      </w:rPr>
    </w:lvl>
    <w:lvl w:ilvl="1" w:tplc="C6203A3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467C7C"/>
    <w:multiLevelType w:val="hybridMultilevel"/>
    <w:tmpl w:val="976457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AD90225"/>
    <w:multiLevelType w:val="hybridMultilevel"/>
    <w:tmpl w:val="C8AE6C18"/>
    <w:lvl w:ilvl="0" w:tplc="04090009">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2DE905F4"/>
    <w:multiLevelType w:val="hybridMultilevel"/>
    <w:tmpl w:val="0C124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563CE"/>
    <w:multiLevelType w:val="hybridMultilevel"/>
    <w:tmpl w:val="519C1CB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1F7EA1"/>
    <w:multiLevelType w:val="hybridMultilevel"/>
    <w:tmpl w:val="630AC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AB7537"/>
    <w:multiLevelType w:val="hybridMultilevel"/>
    <w:tmpl w:val="2A24EA20"/>
    <w:lvl w:ilvl="0" w:tplc="04090005">
      <w:start w:val="1"/>
      <w:numFmt w:val="bullet"/>
      <w:lvlText w:val=""/>
      <w:lvlJc w:val="left"/>
      <w:pPr>
        <w:ind w:left="1932" w:hanging="360"/>
      </w:pPr>
      <w:rPr>
        <w:rFonts w:ascii="Wingdings" w:hAnsi="Wingdings"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15" w15:restartNumberingAfterBreak="0">
    <w:nsid w:val="35AD637D"/>
    <w:multiLevelType w:val="hybridMultilevel"/>
    <w:tmpl w:val="F348B2A8"/>
    <w:lvl w:ilvl="0" w:tplc="04090005">
      <w:start w:val="1"/>
      <w:numFmt w:val="bullet"/>
      <w:lvlText w:val=""/>
      <w:lvlJc w:val="left"/>
      <w:pPr>
        <w:ind w:left="2222" w:hanging="360"/>
      </w:pPr>
      <w:rPr>
        <w:rFonts w:ascii="Wingdings" w:hAnsi="Wingdings" w:hint="default"/>
      </w:rPr>
    </w:lvl>
    <w:lvl w:ilvl="1" w:tplc="04090003" w:tentative="1">
      <w:start w:val="1"/>
      <w:numFmt w:val="bullet"/>
      <w:lvlText w:val="o"/>
      <w:lvlJc w:val="left"/>
      <w:pPr>
        <w:ind w:left="2942" w:hanging="360"/>
      </w:pPr>
      <w:rPr>
        <w:rFonts w:ascii="Courier New" w:hAnsi="Courier New" w:cs="Courier New" w:hint="default"/>
      </w:rPr>
    </w:lvl>
    <w:lvl w:ilvl="2" w:tplc="04090005" w:tentative="1">
      <w:start w:val="1"/>
      <w:numFmt w:val="bullet"/>
      <w:lvlText w:val=""/>
      <w:lvlJc w:val="left"/>
      <w:pPr>
        <w:ind w:left="3662" w:hanging="360"/>
      </w:pPr>
      <w:rPr>
        <w:rFonts w:ascii="Wingdings" w:hAnsi="Wingdings" w:hint="default"/>
      </w:rPr>
    </w:lvl>
    <w:lvl w:ilvl="3" w:tplc="04090001" w:tentative="1">
      <w:start w:val="1"/>
      <w:numFmt w:val="bullet"/>
      <w:lvlText w:val=""/>
      <w:lvlJc w:val="left"/>
      <w:pPr>
        <w:ind w:left="4382" w:hanging="360"/>
      </w:pPr>
      <w:rPr>
        <w:rFonts w:ascii="Symbol" w:hAnsi="Symbol" w:hint="default"/>
      </w:rPr>
    </w:lvl>
    <w:lvl w:ilvl="4" w:tplc="04090003" w:tentative="1">
      <w:start w:val="1"/>
      <w:numFmt w:val="bullet"/>
      <w:lvlText w:val="o"/>
      <w:lvlJc w:val="left"/>
      <w:pPr>
        <w:ind w:left="5102" w:hanging="360"/>
      </w:pPr>
      <w:rPr>
        <w:rFonts w:ascii="Courier New" w:hAnsi="Courier New" w:cs="Courier New" w:hint="default"/>
      </w:rPr>
    </w:lvl>
    <w:lvl w:ilvl="5" w:tplc="04090005" w:tentative="1">
      <w:start w:val="1"/>
      <w:numFmt w:val="bullet"/>
      <w:lvlText w:val=""/>
      <w:lvlJc w:val="left"/>
      <w:pPr>
        <w:ind w:left="5822" w:hanging="360"/>
      </w:pPr>
      <w:rPr>
        <w:rFonts w:ascii="Wingdings" w:hAnsi="Wingdings" w:hint="default"/>
      </w:rPr>
    </w:lvl>
    <w:lvl w:ilvl="6" w:tplc="04090001" w:tentative="1">
      <w:start w:val="1"/>
      <w:numFmt w:val="bullet"/>
      <w:lvlText w:val=""/>
      <w:lvlJc w:val="left"/>
      <w:pPr>
        <w:ind w:left="6542" w:hanging="360"/>
      </w:pPr>
      <w:rPr>
        <w:rFonts w:ascii="Symbol" w:hAnsi="Symbol" w:hint="default"/>
      </w:rPr>
    </w:lvl>
    <w:lvl w:ilvl="7" w:tplc="04090003" w:tentative="1">
      <w:start w:val="1"/>
      <w:numFmt w:val="bullet"/>
      <w:lvlText w:val="o"/>
      <w:lvlJc w:val="left"/>
      <w:pPr>
        <w:ind w:left="7262" w:hanging="360"/>
      </w:pPr>
      <w:rPr>
        <w:rFonts w:ascii="Courier New" w:hAnsi="Courier New" w:cs="Courier New" w:hint="default"/>
      </w:rPr>
    </w:lvl>
    <w:lvl w:ilvl="8" w:tplc="04090005" w:tentative="1">
      <w:start w:val="1"/>
      <w:numFmt w:val="bullet"/>
      <w:lvlText w:val=""/>
      <w:lvlJc w:val="left"/>
      <w:pPr>
        <w:ind w:left="7982" w:hanging="360"/>
      </w:pPr>
      <w:rPr>
        <w:rFonts w:ascii="Wingdings" w:hAnsi="Wingdings" w:hint="default"/>
      </w:rPr>
    </w:lvl>
  </w:abstractNum>
  <w:abstractNum w:abstractNumId="16" w15:restartNumberingAfterBreak="0">
    <w:nsid w:val="372D7C79"/>
    <w:multiLevelType w:val="hybridMultilevel"/>
    <w:tmpl w:val="0D7E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A4BF4"/>
    <w:multiLevelType w:val="hybridMultilevel"/>
    <w:tmpl w:val="1DDE36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38588D"/>
    <w:multiLevelType w:val="hybridMultilevel"/>
    <w:tmpl w:val="E8FA8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11325"/>
    <w:multiLevelType w:val="hybridMultilevel"/>
    <w:tmpl w:val="6252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7700B3"/>
    <w:multiLevelType w:val="hybridMultilevel"/>
    <w:tmpl w:val="F70E754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35E31B1"/>
    <w:multiLevelType w:val="hybridMultilevel"/>
    <w:tmpl w:val="25AEDC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3B779DE"/>
    <w:multiLevelType w:val="hybridMultilevel"/>
    <w:tmpl w:val="5D666BF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1D18B3"/>
    <w:multiLevelType w:val="hybridMultilevel"/>
    <w:tmpl w:val="8522D06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C215BEA"/>
    <w:multiLevelType w:val="hybridMultilevel"/>
    <w:tmpl w:val="E5EAE06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E710434"/>
    <w:multiLevelType w:val="hybridMultilevel"/>
    <w:tmpl w:val="D6C28C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FF45F1"/>
    <w:multiLevelType w:val="hybridMultilevel"/>
    <w:tmpl w:val="DB2A8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E03AF7"/>
    <w:multiLevelType w:val="hybridMultilevel"/>
    <w:tmpl w:val="B7DCF8A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34F0F51"/>
    <w:multiLevelType w:val="hybridMultilevel"/>
    <w:tmpl w:val="9B08F9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69073D2"/>
    <w:multiLevelType w:val="hybridMultilevel"/>
    <w:tmpl w:val="281C19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C1822D4"/>
    <w:multiLevelType w:val="hybridMultilevel"/>
    <w:tmpl w:val="8FB6D94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EA6252D"/>
    <w:multiLevelType w:val="hybridMultilevel"/>
    <w:tmpl w:val="E206B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0D1ED8"/>
    <w:multiLevelType w:val="hybridMultilevel"/>
    <w:tmpl w:val="DEBED2EE"/>
    <w:lvl w:ilvl="0" w:tplc="04090005">
      <w:start w:val="1"/>
      <w:numFmt w:val="bullet"/>
      <w:lvlText w:val=""/>
      <w:lvlJc w:val="left"/>
      <w:pPr>
        <w:ind w:left="2378" w:hanging="360"/>
      </w:pPr>
      <w:rPr>
        <w:rFonts w:ascii="Wingdings" w:hAnsi="Wingdings" w:hint="default"/>
      </w:rPr>
    </w:lvl>
    <w:lvl w:ilvl="1" w:tplc="04090003" w:tentative="1">
      <w:start w:val="1"/>
      <w:numFmt w:val="bullet"/>
      <w:lvlText w:val="o"/>
      <w:lvlJc w:val="left"/>
      <w:pPr>
        <w:ind w:left="3098" w:hanging="360"/>
      </w:pPr>
      <w:rPr>
        <w:rFonts w:ascii="Courier New" w:hAnsi="Courier New" w:cs="Courier New" w:hint="default"/>
      </w:rPr>
    </w:lvl>
    <w:lvl w:ilvl="2" w:tplc="04090005" w:tentative="1">
      <w:start w:val="1"/>
      <w:numFmt w:val="bullet"/>
      <w:lvlText w:val=""/>
      <w:lvlJc w:val="left"/>
      <w:pPr>
        <w:ind w:left="3818" w:hanging="360"/>
      </w:pPr>
      <w:rPr>
        <w:rFonts w:ascii="Wingdings" w:hAnsi="Wingdings" w:hint="default"/>
      </w:rPr>
    </w:lvl>
    <w:lvl w:ilvl="3" w:tplc="04090001" w:tentative="1">
      <w:start w:val="1"/>
      <w:numFmt w:val="bullet"/>
      <w:lvlText w:val=""/>
      <w:lvlJc w:val="left"/>
      <w:pPr>
        <w:ind w:left="4538" w:hanging="360"/>
      </w:pPr>
      <w:rPr>
        <w:rFonts w:ascii="Symbol" w:hAnsi="Symbol" w:hint="default"/>
      </w:rPr>
    </w:lvl>
    <w:lvl w:ilvl="4" w:tplc="04090003" w:tentative="1">
      <w:start w:val="1"/>
      <w:numFmt w:val="bullet"/>
      <w:lvlText w:val="o"/>
      <w:lvlJc w:val="left"/>
      <w:pPr>
        <w:ind w:left="5258" w:hanging="360"/>
      </w:pPr>
      <w:rPr>
        <w:rFonts w:ascii="Courier New" w:hAnsi="Courier New" w:cs="Courier New" w:hint="default"/>
      </w:rPr>
    </w:lvl>
    <w:lvl w:ilvl="5" w:tplc="04090005" w:tentative="1">
      <w:start w:val="1"/>
      <w:numFmt w:val="bullet"/>
      <w:lvlText w:val=""/>
      <w:lvlJc w:val="left"/>
      <w:pPr>
        <w:ind w:left="5978" w:hanging="360"/>
      </w:pPr>
      <w:rPr>
        <w:rFonts w:ascii="Wingdings" w:hAnsi="Wingdings" w:hint="default"/>
      </w:rPr>
    </w:lvl>
    <w:lvl w:ilvl="6" w:tplc="04090001" w:tentative="1">
      <w:start w:val="1"/>
      <w:numFmt w:val="bullet"/>
      <w:lvlText w:val=""/>
      <w:lvlJc w:val="left"/>
      <w:pPr>
        <w:ind w:left="6698" w:hanging="360"/>
      </w:pPr>
      <w:rPr>
        <w:rFonts w:ascii="Symbol" w:hAnsi="Symbol" w:hint="default"/>
      </w:rPr>
    </w:lvl>
    <w:lvl w:ilvl="7" w:tplc="04090003" w:tentative="1">
      <w:start w:val="1"/>
      <w:numFmt w:val="bullet"/>
      <w:lvlText w:val="o"/>
      <w:lvlJc w:val="left"/>
      <w:pPr>
        <w:ind w:left="7418" w:hanging="360"/>
      </w:pPr>
      <w:rPr>
        <w:rFonts w:ascii="Courier New" w:hAnsi="Courier New" w:cs="Courier New" w:hint="default"/>
      </w:rPr>
    </w:lvl>
    <w:lvl w:ilvl="8" w:tplc="04090005" w:tentative="1">
      <w:start w:val="1"/>
      <w:numFmt w:val="bullet"/>
      <w:lvlText w:val=""/>
      <w:lvlJc w:val="left"/>
      <w:pPr>
        <w:ind w:left="8138" w:hanging="360"/>
      </w:pPr>
      <w:rPr>
        <w:rFonts w:ascii="Wingdings" w:hAnsi="Wingdings" w:hint="default"/>
      </w:rPr>
    </w:lvl>
  </w:abstractNum>
  <w:num w:numId="1" w16cid:durableId="935211360">
    <w:abstractNumId w:val="4"/>
  </w:num>
  <w:num w:numId="2" w16cid:durableId="1687319594">
    <w:abstractNumId w:val="18"/>
  </w:num>
  <w:num w:numId="3" w16cid:durableId="2094739743">
    <w:abstractNumId w:val="19"/>
  </w:num>
  <w:num w:numId="4" w16cid:durableId="1788312293">
    <w:abstractNumId w:val="25"/>
  </w:num>
  <w:num w:numId="5" w16cid:durableId="1275745727">
    <w:abstractNumId w:val="16"/>
  </w:num>
  <w:num w:numId="6" w16cid:durableId="1525630298">
    <w:abstractNumId w:val="8"/>
  </w:num>
  <w:num w:numId="7" w16cid:durableId="1515652674">
    <w:abstractNumId w:val="13"/>
  </w:num>
  <w:num w:numId="8" w16cid:durableId="2090811563">
    <w:abstractNumId w:val="3"/>
  </w:num>
  <w:num w:numId="9" w16cid:durableId="708190508">
    <w:abstractNumId w:val="22"/>
  </w:num>
  <w:num w:numId="10" w16cid:durableId="1393114746">
    <w:abstractNumId w:val="6"/>
  </w:num>
  <w:num w:numId="11" w16cid:durableId="1153713871">
    <w:abstractNumId w:val="17"/>
  </w:num>
  <w:num w:numId="12" w16cid:durableId="832910627">
    <w:abstractNumId w:val="11"/>
  </w:num>
  <w:num w:numId="13" w16cid:durableId="1746147244">
    <w:abstractNumId w:val="23"/>
  </w:num>
  <w:num w:numId="14" w16cid:durableId="1165363132">
    <w:abstractNumId w:val="28"/>
  </w:num>
  <w:num w:numId="15" w16cid:durableId="673873099">
    <w:abstractNumId w:val="26"/>
  </w:num>
  <w:num w:numId="16" w16cid:durableId="1694841037">
    <w:abstractNumId w:val="27"/>
  </w:num>
  <w:num w:numId="17" w16cid:durableId="1141382840">
    <w:abstractNumId w:val="12"/>
  </w:num>
  <w:num w:numId="18" w16cid:durableId="482432993">
    <w:abstractNumId w:val="9"/>
  </w:num>
  <w:num w:numId="19" w16cid:durableId="1069883177">
    <w:abstractNumId w:val="0"/>
  </w:num>
  <w:num w:numId="20" w16cid:durableId="638615402">
    <w:abstractNumId w:val="2"/>
  </w:num>
  <w:num w:numId="21" w16cid:durableId="1828328211">
    <w:abstractNumId w:val="29"/>
  </w:num>
  <w:num w:numId="22" w16cid:durableId="2025354288">
    <w:abstractNumId w:val="5"/>
  </w:num>
  <w:num w:numId="23" w16cid:durableId="1905412577">
    <w:abstractNumId w:val="31"/>
  </w:num>
  <w:num w:numId="24" w16cid:durableId="1846092416">
    <w:abstractNumId w:val="14"/>
  </w:num>
  <w:num w:numId="25" w16cid:durableId="1040589083">
    <w:abstractNumId w:val="15"/>
  </w:num>
  <w:num w:numId="26" w16cid:durableId="1208227006">
    <w:abstractNumId w:val="32"/>
  </w:num>
  <w:num w:numId="27" w16cid:durableId="1664046974">
    <w:abstractNumId w:val="21"/>
  </w:num>
  <w:num w:numId="28" w16cid:durableId="1065882746">
    <w:abstractNumId w:val="20"/>
  </w:num>
  <w:num w:numId="29" w16cid:durableId="1815484519">
    <w:abstractNumId w:val="30"/>
  </w:num>
  <w:num w:numId="30" w16cid:durableId="1840074278">
    <w:abstractNumId w:val="24"/>
  </w:num>
  <w:num w:numId="31" w16cid:durableId="1964114907">
    <w:abstractNumId w:val="7"/>
  </w:num>
  <w:num w:numId="32" w16cid:durableId="1584991766">
    <w:abstractNumId w:val="1"/>
  </w:num>
  <w:num w:numId="33" w16cid:durableId="2053843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18B"/>
    <w:rsid w:val="000170E5"/>
    <w:rsid w:val="00060D53"/>
    <w:rsid w:val="0009494C"/>
    <w:rsid w:val="000A3916"/>
    <w:rsid w:val="000B3A0A"/>
    <w:rsid w:val="000D4508"/>
    <w:rsid w:val="000E443F"/>
    <w:rsid w:val="000F3873"/>
    <w:rsid w:val="00107720"/>
    <w:rsid w:val="001F702F"/>
    <w:rsid w:val="00226149"/>
    <w:rsid w:val="002F013D"/>
    <w:rsid w:val="004231AA"/>
    <w:rsid w:val="00431118"/>
    <w:rsid w:val="004A1547"/>
    <w:rsid w:val="004D1700"/>
    <w:rsid w:val="0053700F"/>
    <w:rsid w:val="0058618B"/>
    <w:rsid w:val="005D04FE"/>
    <w:rsid w:val="00605DD1"/>
    <w:rsid w:val="006E6C05"/>
    <w:rsid w:val="00707BCC"/>
    <w:rsid w:val="00720DF9"/>
    <w:rsid w:val="00726485"/>
    <w:rsid w:val="007E18CC"/>
    <w:rsid w:val="0082665F"/>
    <w:rsid w:val="00874AB1"/>
    <w:rsid w:val="008773BF"/>
    <w:rsid w:val="008D62CC"/>
    <w:rsid w:val="0092516B"/>
    <w:rsid w:val="00954CB2"/>
    <w:rsid w:val="009B4DAF"/>
    <w:rsid w:val="009C182E"/>
    <w:rsid w:val="009F6D4A"/>
    <w:rsid w:val="00B0207A"/>
    <w:rsid w:val="00B11014"/>
    <w:rsid w:val="00B114C6"/>
    <w:rsid w:val="00B12A63"/>
    <w:rsid w:val="00B767F7"/>
    <w:rsid w:val="00C20E4F"/>
    <w:rsid w:val="00C21289"/>
    <w:rsid w:val="00C55A12"/>
    <w:rsid w:val="00C7366A"/>
    <w:rsid w:val="00C960A9"/>
    <w:rsid w:val="00CC2F3F"/>
    <w:rsid w:val="00D66B19"/>
    <w:rsid w:val="00DA0D86"/>
    <w:rsid w:val="00DF3F09"/>
    <w:rsid w:val="00DF501A"/>
    <w:rsid w:val="00F10AB5"/>
    <w:rsid w:val="00F2785F"/>
    <w:rsid w:val="00FF0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545E9A"/>
  <w15:chartTrackingRefBased/>
  <w15:docId w15:val="{D34A945A-688C-4E49-969B-788E0BFD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18B"/>
    <w:rPr>
      <w:rFonts w:eastAsiaTheme="majorEastAsia" w:cstheme="majorBidi"/>
      <w:color w:val="272727" w:themeColor="text1" w:themeTint="D8"/>
    </w:rPr>
  </w:style>
  <w:style w:type="paragraph" w:styleId="Title">
    <w:name w:val="Title"/>
    <w:basedOn w:val="Normal"/>
    <w:next w:val="Normal"/>
    <w:link w:val="TitleChar"/>
    <w:uiPriority w:val="10"/>
    <w:qFormat/>
    <w:rsid w:val="0058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18B"/>
    <w:pPr>
      <w:spacing w:before="160"/>
      <w:jc w:val="center"/>
    </w:pPr>
    <w:rPr>
      <w:i/>
      <w:iCs/>
      <w:color w:val="404040" w:themeColor="text1" w:themeTint="BF"/>
    </w:rPr>
  </w:style>
  <w:style w:type="character" w:customStyle="1" w:styleId="QuoteChar">
    <w:name w:val="Quote Char"/>
    <w:basedOn w:val="DefaultParagraphFont"/>
    <w:link w:val="Quote"/>
    <w:uiPriority w:val="29"/>
    <w:rsid w:val="0058618B"/>
    <w:rPr>
      <w:i/>
      <w:iCs/>
      <w:color w:val="404040" w:themeColor="text1" w:themeTint="BF"/>
    </w:rPr>
  </w:style>
  <w:style w:type="paragraph" w:styleId="ListParagraph">
    <w:name w:val="List Paragraph"/>
    <w:basedOn w:val="Normal"/>
    <w:uiPriority w:val="34"/>
    <w:qFormat/>
    <w:rsid w:val="0058618B"/>
    <w:pPr>
      <w:ind w:left="720"/>
      <w:contextualSpacing/>
    </w:pPr>
  </w:style>
  <w:style w:type="character" w:styleId="IntenseEmphasis">
    <w:name w:val="Intense Emphasis"/>
    <w:basedOn w:val="DefaultParagraphFont"/>
    <w:uiPriority w:val="21"/>
    <w:qFormat/>
    <w:rsid w:val="0058618B"/>
    <w:rPr>
      <w:i/>
      <w:iCs/>
      <w:color w:val="0F4761" w:themeColor="accent1" w:themeShade="BF"/>
    </w:rPr>
  </w:style>
  <w:style w:type="paragraph" w:styleId="IntenseQuote">
    <w:name w:val="Intense Quote"/>
    <w:basedOn w:val="Normal"/>
    <w:next w:val="Normal"/>
    <w:link w:val="IntenseQuoteChar"/>
    <w:uiPriority w:val="30"/>
    <w:qFormat/>
    <w:rsid w:val="0058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18B"/>
    <w:rPr>
      <w:i/>
      <w:iCs/>
      <w:color w:val="0F4761" w:themeColor="accent1" w:themeShade="BF"/>
    </w:rPr>
  </w:style>
  <w:style w:type="character" w:styleId="IntenseReference">
    <w:name w:val="Intense Reference"/>
    <w:basedOn w:val="DefaultParagraphFont"/>
    <w:uiPriority w:val="32"/>
    <w:qFormat/>
    <w:rsid w:val="00586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shravanidhamal9@gmail.com</dc:creator>
  <cp:keywords/>
  <dc:description/>
  <cp:lastModifiedBy>shravanidhamal9@gmail.com</cp:lastModifiedBy>
  <cp:revision>2</cp:revision>
  <dcterms:created xsi:type="dcterms:W3CDTF">2026-09-13T12:21:00Z</dcterms:created>
  <dcterms:modified xsi:type="dcterms:W3CDTF">2026-09-13T12:21:00Z</dcterms:modified>
</cp:coreProperties>
</file>