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02071" w14:textId="58758C43" w:rsidR="00B9594C" w:rsidRPr="006B2D6A" w:rsidRDefault="00B9594C" w:rsidP="006B2D6A">
      <w:pPr>
        <w:jc w:val="center"/>
        <w:rPr>
          <w:sz w:val="32"/>
          <w:szCs w:val="32"/>
        </w:rPr>
      </w:pPr>
      <w:r w:rsidRPr="006B2D6A">
        <w:rPr>
          <w:sz w:val="32"/>
          <w:szCs w:val="32"/>
        </w:rPr>
        <w:t>TASK 3</w:t>
      </w:r>
    </w:p>
    <w:p w14:paraId="0397F585" w14:textId="49CA5101" w:rsidR="003C3913" w:rsidRPr="006B2D6A" w:rsidRDefault="003C3913" w:rsidP="006B2D6A">
      <w:pPr>
        <w:pStyle w:val="ListParagraph"/>
        <w:numPr>
          <w:ilvl w:val="0"/>
          <w:numId w:val="25"/>
        </w:numPr>
        <w:rPr>
          <w:sz w:val="28"/>
          <w:szCs w:val="28"/>
        </w:rPr>
      </w:pPr>
      <w:r w:rsidRPr="006B2D6A">
        <w:rPr>
          <w:sz w:val="28"/>
          <w:szCs w:val="28"/>
        </w:rPr>
        <w:t>What is Causality Assessment?</w:t>
      </w:r>
    </w:p>
    <w:p w14:paraId="71FB276C" w14:textId="77777777" w:rsidR="00820373" w:rsidRPr="006B2D6A" w:rsidRDefault="003C3913" w:rsidP="006B2D6A">
      <w:pPr>
        <w:pStyle w:val="ListParagraph"/>
        <w:numPr>
          <w:ilvl w:val="0"/>
          <w:numId w:val="26"/>
        </w:numPr>
        <w:rPr>
          <w:sz w:val="28"/>
          <w:szCs w:val="28"/>
        </w:rPr>
      </w:pPr>
      <w:r w:rsidRPr="006B2D6A">
        <w:rPr>
          <w:sz w:val="28"/>
          <w:szCs w:val="28"/>
        </w:rPr>
        <w:t>Causality assessment is also called relatedness assessment. It is the process used to determine whether there is a causal relationship between exposure to a drug and an adverse event. It deals with:</w:t>
      </w:r>
    </w:p>
    <w:p w14:paraId="0121D562" w14:textId="77777777" w:rsidR="00820373" w:rsidRPr="006B2D6A" w:rsidRDefault="003C3913" w:rsidP="006B2D6A">
      <w:pPr>
        <w:pStyle w:val="ListParagraph"/>
        <w:numPr>
          <w:ilvl w:val="0"/>
          <w:numId w:val="26"/>
        </w:numPr>
        <w:rPr>
          <w:sz w:val="28"/>
          <w:szCs w:val="28"/>
        </w:rPr>
      </w:pPr>
      <w:r w:rsidRPr="006B2D6A">
        <w:rPr>
          <w:sz w:val="28"/>
          <w:szCs w:val="28"/>
        </w:rPr>
        <w:t>Adverse Event (AE): An unwanted medical occurrence where the causal relationship with the drug has not yet been established.</w:t>
      </w:r>
    </w:p>
    <w:p w14:paraId="689066FA" w14:textId="77777777" w:rsidR="00820373" w:rsidRPr="006B2D6A" w:rsidRDefault="003C3913" w:rsidP="006B2D6A">
      <w:pPr>
        <w:pStyle w:val="ListParagraph"/>
        <w:numPr>
          <w:ilvl w:val="0"/>
          <w:numId w:val="26"/>
        </w:numPr>
        <w:rPr>
          <w:sz w:val="28"/>
          <w:szCs w:val="28"/>
        </w:rPr>
      </w:pPr>
      <w:r w:rsidRPr="006B2D6A">
        <w:rPr>
          <w:sz w:val="28"/>
          <w:szCs w:val="28"/>
        </w:rPr>
        <w:t>Adverse Drug Reaction (ADR): Once causality has been assessed and a relationship with the drug is established, the AE is considered an ADR.</w:t>
      </w:r>
    </w:p>
    <w:p w14:paraId="6D77C2D5" w14:textId="77777777" w:rsidR="00820373" w:rsidRPr="006B2D6A" w:rsidRDefault="003C3913" w:rsidP="006B2D6A">
      <w:pPr>
        <w:pStyle w:val="ListParagraph"/>
        <w:numPr>
          <w:ilvl w:val="0"/>
          <w:numId w:val="26"/>
        </w:numPr>
        <w:rPr>
          <w:sz w:val="28"/>
          <w:szCs w:val="28"/>
        </w:rPr>
      </w:pPr>
      <w:r w:rsidRPr="006B2D6A">
        <w:rPr>
          <w:sz w:val="28"/>
          <w:szCs w:val="28"/>
        </w:rPr>
        <w:t>SAE (Serious Adverse Event) vs SUSAR (Suspected Unexpected Serious Adverse Reaction): The term “reaction” in SUSAR indicates that a causal relationship with the drug is suspected.</w:t>
      </w:r>
    </w:p>
    <w:p w14:paraId="3DA83C21" w14:textId="1107A5FE" w:rsidR="003C3913" w:rsidRPr="006B2D6A" w:rsidRDefault="003C3913" w:rsidP="006B2D6A">
      <w:pPr>
        <w:pStyle w:val="ListParagraph"/>
        <w:numPr>
          <w:ilvl w:val="0"/>
          <w:numId w:val="26"/>
        </w:numPr>
        <w:rPr>
          <w:sz w:val="28"/>
          <w:szCs w:val="28"/>
        </w:rPr>
      </w:pPr>
      <w:r w:rsidRPr="006B2D6A">
        <w:rPr>
          <w:sz w:val="28"/>
          <w:szCs w:val="28"/>
        </w:rPr>
        <w:t>Causality assessment is generally carried out by a medical reviewer, usually a physician, within a pharmaceutical company.</w:t>
      </w:r>
    </w:p>
    <w:p w14:paraId="03EDA6B8" w14:textId="77777777" w:rsidR="00820373" w:rsidRPr="006B2D6A" w:rsidRDefault="00820373" w:rsidP="00722AFA">
      <w:pPr>
        <w:rPr>
          <w:sz w:val="28"/>
          <w:szCs w:val="28"/>
        </w:rPr>
      </w:pPr>
    </w:p>
    <w:p w14:paraId="3D47119B" w14:textId="344636DA" w:rsidR="009118DD" w:rsidRPr="006B2D6A" w:rsidRDefault="009118DD" w:rsidP="00722AFA">
      <w:pPr>
        <w:rPr>
          <w:sz w:val="28"/>
          <w:szCs w:val="28"/>
        </w:rPr>
      </w:pPr>
      <w:r w:rsidRPr="006B2D6A">
        <w:rPr>
          <w:sz w:val="28"/>
          <w:szCs w:val="28"/>
        </w:rPr>
        <w:t>Four Factors Associated with Causality</w:t>
      </w:r>
    </w:p>
    <w:p w14:paraId="6A7B3CCD" w14:textId="0D8B22CC" w:rsidR="009118DD" w:rsidRPr="002968A9" w:rsidRDefault="009118DD" w:rsidP="002968A9">
      <w:pPr>
        <w:pStyle w:val="ListParagraph"/>
        <w:numPr>
          <w:ilvl w:val="1"/>
          <w:numId w:val="25"/>
        </w:numPr>
        <w:rPr>
          <w:sz w:val="28"/>
          <w:szCs w:val="28"/>
        </w:rPr>
      </w:pPr>
      <w:r w:rsidRPr="002968A9">
        <w:rPr>
          <w:sz w:val="28"/>
          <w:szCs w:val="28"/>
        </w:rPr>
        <w:t>Drug-Related Factors</w:t>
      </w:r>
    </w:p>
    <w:p w14:paraId="14D867FB" w14:textId="77777777" w:rsidR="009118DD" w:rsidRPr="0079531F" w:rsidRDefault="009118DD" w:rsidP="0079531F">
      <w:pPr>
        <w:pStyle w:val="ListParagraph"/>
        <w:numPr>
          <w:ilvl w:val="0"/>
          <w:numId w:val="28"/>
        </w:numPr>
        <w:rPr>
          <w:sz w:val="28"/>
          <w:szCs w:val="28"/>
        </w:rPr>
      </w:pPr>
      <w:proofErr w:type="spellStart"/>
      <w:r w:rsidRPr="0079531F">
        <w:rPr>
          <w:sz w:val="28"/>
          <w:szCs w:val="28"/>
        </w:rPr>
        <w:t>Labeledness</w:t>
      </w:r>
      <w:proofErr w:type="spellEnd"/>
      <w:r w:rsidRPr="0079531F">
        <w:rPr>
          <w:sz w:val="28"/>
          <w:szCs w:val="28"/>
        </w:rPr>
        <w:t>: Determines whether the reaction is already known or documented for the particular drug.</w:t>
      </w:r>
    </w:p>
    <w:p w14:paraId="4D19C40D" w14:textId="77777777" w:rsidR="009118DD" w:rsidRPr="0079531F" w:rsidRDefault="009118DD" w:rsidP="0079531F">
      <w:pPr>
        <w:pStyle w:val="ListParagraph"/>
        <w:numPr>
          <w:ilvl w:val="0"/>
          <w:numId w:val="28"/>
        </w:numPr>
        <w:rPr>
          <w:sz w:val="28"/>
          <w:szCs w:val="28"/>
        </w:rPr>
      </w:pPr>
      <w:r w:rsidRPr="0079531F">
        <w:rPr>
          <w:sz w:val="28"/>
          <w:szCs w:val="28"/>
        </w:rPr>
        <w:t xml:space="preserve">Example: Dry cough is a known adverse effect associated with ACE inhibitors such as </w:t>
      </w:r>
      <w:proofErr w:type="spellStart"/>
      <w:r w:rsidRPr="0079531F">
        <w:rPr>
          <w:sz w:val="28"/>
          <w:szCs w:val="28"/>
        </w:rPr>
        <w:t>enalapril</w:t>
      </w:r>
      <w:proofErr w:type="spellEnd"/>
      <w:r w:rsidRPr="0079531F">
        <w:rPr>
          <w:sz w:val="28"/>
          <w:szCs w:val="28"/>
        </w:rPr>
        <w:t>.</w:t>
      </w:r>
    </w:p>
    <w:p w14:paraId="70830594" w14:textId="77777777" w:rsidR="009118DD" w:rsidRPr="0079531F" w:rsidRDefault="009118DD" w:rsidP="0079531F">
      <w:pPr>
        <w:pStyle w:val="ListParagraph"/>
        <w:numPr>
          <w:ilvl w:val="0"/>
          <w:numId w:val="28"/>
        </w:numPr>
        <w:rPr>
          <w:sz w:val="28"/>
          <w:szCs w:val="28"/>
        </w:rPr>
      </w:pPr>
      <w:r w:rsidRPr="0079531F">
        <w:rPr>
          <w:sz w:val="28"/>
          <w:szCs w:val="28"/>
        </w:rPr>
        <w:t>Predisposing factors of the drug itself: Certain characteristics of a drug may increase the possibility of toxicity.</w:t>
      </w:r>
    </w:p>
    <w:p w14:paraId="6D79FD51" w14:textId="77777777" w:rsidR="009118DD" w:rsidRPr="0079531F" w:rsidRDefault="009118DD" w:rsidP="0079531F">
      <w:pPr>
        <w:pStyle w:val="ListParagraph"/>
        <w:numPr>
          <w:ilvl w:val="0"/>
          <w:numId w:val="28"/>
        </w:numPr>
        <w:rPr>
          <w:sz w:val="28"/>
          <w:szCs w:val="28"/>
        </w:rPr>
      </w:pPr>
      <w:r w:rsidRPr="0079531F">
        <w:rPr>
          <w:sz w:val="28"/>
          <w:szCs w:val="28"/>
        </w:rPr>
        <w:t>Example: Digoxin has a narrow therapeutic range, so small increases in its concentration can lead to toxicity.</w:t>
      </w:r>
    </w:p>
    <w:p w14:paraId="7BF804AF" w14:textId="77777777" w:rsidR="009118DD" w:rsidRPr="0079531F" w:rsidRDefault="009118DD" w:rsidP="0079531F">
      <w:pPr>
        <w:pStyle w:val="ListParagraph"/>
        <w:numPr>
          <w:ilvl w:val="0"/>
          <w:numId w:val="28"/>
        </w:numPr>
        <w:rPr>
          <w:sz w:val="28"/>
          <w:szCs w:val="28"/>
        </w:rPr>
      </w:pPr>
      <w:r w:rsidRPr="0079531F">
        <w:rPr>
          <w:sz w:val="28"/>
          <w:szCs w:val="28"/>
        </w:rPr>
        <w:t>Concomitant medications: Other medicines taken by the patient along with the suspected drug may contribute to the adverse event.</w:t>
      </w:r>
    </w:p>
    <w:p w14:paraId="74D89BF1" w14:textId="77777777" w:rsidR="009118DD" w:rsidRPr="0079531F" w:rsidRDefault="009118DD" w:rsidP="0079531F">
      <w:pPr>
        <w:pStyle w:val="ListParagraph"/>
        <w:numPr>
          <w:ilvl w:val="0"/>
          <w:numId w:val="28"/>
        </w:numPr>
        <w:rPr>
          <w:sz w:val="28"/>
          <w:szCs w:val="28"/>
        </w:rPr>
      </w:pPr>
      <w:r w:rsidRPr="0079531F">
        <w:rPr>
          <w:sz w:val="28"/>
          <w:szCs w:val="28"/>
        </w:rPr>
        <w:t>Example: Clarithromycin taken with atorvastatin can increase statin levels and raise the risk of muscle-related toxicity.</w:t>
      </w:r>
    </w:p>
    <w:p w14:paraId="76E7D2B2" w14:textId="77777777" w:rsidR="009118DD" w:rsidRPr="006B2D6A" w:rsidRDefault="009118DD" w:rsidP="00722AFA">
      <w:pPr>
        <w:rPr>
          <w:sz w:val="28"/>
          <w:szCs w:val="28"/>
        </w:rPr>
      </w:pPr>
    </w:p>
    <w:p w14:paraId="34E35BD2" w14:textId="3D672375" w:rsidR="009118DD" w:rsidRPr="002968A9" w:rsidRDefault="009118DD" w:rsidP="002968A9">
      <w:pPr>
        <w:pStyle w:val="ListParagraph"/>
        <w:numPr>
          <w:ilvl w:val="1"/>
          <w:numId w:val="25"/>
        </w:numPr>
        <w:rPr>
          <w:sz w:val="28"/>
          <w:szCs w:val="28"/>
        </w:rPr>
      </w:pPr>
      <w:r w:rsidRPr="002968A9">
        <w:rPr>
          <w:sz w:val="28"/>
          <w:szCs w:val="28"/>
        </w:rPr>
        <w:t>Event-Related Factors</w:t>
      </w:r>
    </w:p>
    <w:p w14:paraId="11465717" w14:textId="77777777" w:rsidR="009118DD" w:rsidRPr="002968A9" w:rsidRDefault="009118DD" w:rsidP="002968A9">
      <w:pPr>
        <w:pStyle w:val="ListParagraph"/>
        <w:numPr>
          <w:ilvl w:val="0"/>
          <w:numId w:val="29"/>
        </w:numPr>
        <w:rPr>
          <w:sz w:val="28"/>
          <w:szCs w:val="28"/>
        </w:rPr>
      </w:pPr>
      <w:r w:rsidRPr="002968A9">
        <w:rPr>
          <w:sz w:val="28"/>
          <w:szCs w:val="28"/>
        </w:rPr>
        <w:t>These ADRs are identified through documented physical findings, clinical diagnoses, or reported symptoms.</w:t>
      </w:r>
    </w:p>
    <w:p w14:paraId="5287D1FD" w14:textId="77777777" w:rsidR="009118DD" w:rsidRDefault="009118DD" w:rsidP="002968A9">
      <w:pPr>
        <w:pStyle w:val="ListParagraph"/>
        <w:numPr>
          <w:ilvl w:val="0"/>
          <w:numId w:val="29"/>
        </w:numPr>
        <w:rPr>
          <w:sz w:val="28"/>
          <w:szCs w:val="28"/>
        </w:rPr>
      </w:pPr>
      <w:r w:rsidRPr="002968A9">
        <w:rPr>
          <w:sz w:val="28"/>
          <w:szCs w:val="28"/>
        </w:rPr>
        <w:t>Example: A patient developing swelling of the face and difficulty breathing after taking a medicine.</w:t>
      </w:r>
    </w:p>
    <w:p w14:paraId="016CC2A1" w14:textId="77777777" w:rsidR="002968A9" w:rsidRPr="002968A9" w:rsidRDefault="002968A9" w:rsidP="002968A9">
      <w:pPr>
        <w:pStyle w:val="ListParagraph"/>
        <w:rPr>
          <w:sz w:val="28"/>
          <w:szCs w:val="28"/>
        </w:rPr>
      </w:pPr>
    </w:p>
    <w:p w14:paraId="3F8FBF6F" w14:textId="70FA8C0D" w:rsidR="009118DD" w:rsidRPr="002968A9" w:rsidRDefault="009118DD" w:rsidP="002968A9">
      <w:pPr>
        <w:pStyle w:val="ListParagraph"/>
        <w:numPr>
          <w:ilvl w:val="1"/>
          <w:numId w:val="25"/>
        </w:numPr>
        <w:rPr>
          <w:sz w:val="28"/>
          <w:szCs w:val="28"/>
        </w:rPr>
      </w:pPr>
      <w:r w:rsidRPr="002968A9">
        <w:rPr>
          <w:sz w:val="28"/>
          <w:szCs w:val="28"/>
        </w:rPr>
        <w:t>Patient-Related Factors</w:t>
      </w:r>
    </w:p>
    <w:p w14:paraId="08AFEE14" w14:textId="77777777" w:rsidR="009118DD" w:rsidRPr="002968A9" w:rsidRDefault="009118DD" w:rsidP="002968A9">
      <w:pPr>
        <w:pStyle w:val="ListParagraph"/>
        <w:numPr>
          <w:ilvl w:val="0"/>
          <w:numId w:val="30"/>
        </w:numPr>
        <w:rPr>
          <w:sz w:val="28"/>
          <w:szCs w:val="28"/>
        </w:rPr>
      </w:pPr>
      <w:r w:rsidRPr="002968A9">
        <w:rPr>
          <w:sz w:val="28"/>
          <w:szCs w:val="28"/>
        </w:rPr>
        <w:t>Pharmacogenomics: Different individuals may metabolize and respond to the same medicine differently because of genetic variations.</w:t>
      </w:r>
    </w:p>
    <w:p w14:paraId="604D2631" w14:textId="77777777" w:rsidR="009118DD" w:rsidRPr="002968A9" w:rsidRDefault="009118DD" w:rsidP="002968A9">
      <w:pPr>
        <w:pStyle w:val="ListParagraph"/>
        <w:numPr>
          <w:ilvl w:val="0"/>
          <w:numId w:val="30"/>
        </w:numPr>
        <w:rPr>
          <w:sz w:val="28"/>
          <w:szCs w:val="28"/>
        </w:rPr>
      </w:pPr>
      <w:r w:rsidRPr="002968A9">
        <w:rPr>
          <w:sz w:val="28"/>
          <w:szCs w:val="28"/>
        </w:rPr>
        <w:t xml:space="preserve">Example: Some patients may develop </w:t>
      </w:r>
      <w:proofErr w:type="spellStart"/>
      <w:r w:rsidRPr="002968A9">
        <w:rPr>
          <w:sz w:val="28"/>
          <w:szCs w:val="28"/>
        </w:rPr>
        <w:t>hemolysis</w:t>
      </w:r>
      <w:proofErr w:type="spellEnd"/>
      <w:r w:rsidRPr="002968A9">
        <w:rPr>
          <w:sz w:val="28"/>
          <w:szCs w:val="28"/>
        </w:rPr>
        <w:t xml:space="preserve"> after taking </w:t>
      </w:r>
      <w:proofErr w:type="spellStart"/>
      <w:r w:rsidRPr="002968A9">
        <w:rPr>
          <w:sz w:val="28"/>
          <w:szCs w:val="28"/>
        </w:rPr>
        <w:t>primaquine</w:t>
      </w:r>
      <w:proofErr w:type="spellEnd"/>
      <w:r w:rsidRPr="002968A9">
        <w:rPr>
          <w:sz w:val="28"/>
          <w:szCs w:val="28"/>
        </w:rPr>
        <w:t xml:space="preserve"> due to G6PD deficiency.</w:t>
      </w:r>
    </w:p>
    <w:p w14:paraId="0ABF1719" w14:textId="3EDE7D57" w:rsidR="009118DD" w:rsidRPr="002968A9" w:rsidRDefault="009118DD" w:rsidP="002968A9">
      <w:pPr>
        <w:pStyle w:val="ListParagraph"/>
        <w:numPr>
          <w:ilvl w:val="0"/>
          <w:numId w:val="30"/>
        </w:numPr>
        <w:rPr>
          <w:sz w:val="28"/>
          <w:szCs w:val="28"/>
        </w:rPr>
      </w:pPr>
      <w:r w:rsidRPr="002968A9">
        <w:rPr>
          <w:sz w:val="28"/>
          <w:szCs w:val="28"/>
        </w:rPr>
        <w:t>Medical history and predisposing factors: The patient’s previous medical and medication history can provide information about their susceptibility and response to certain medicines.</w:t>
      </w:r>
    </w:p>
    <w:p w14:paraId="5FE5BFC5" w14:textId="77777777" w:rsidR="009118DD" w:rsidRPr="002968A9" w:rsidRDefault="009118DD" w:rsidP="002968A9">
      <w:pPr>
        <w:pStyle w:val="ListParagraph"/>
        <w:numPr>
          <w:ilvl w:val="0"/>
          <w:numId w:val="30"/>
        </w:numPr>
        <w:rPr>
          <w:sz w:val="28"/>
          <w:szCs w:val="28"/>
        </w:rPr>
      </w:pPr>
      <w:r w:rsidRPr="002968A9">
        <w:rPr>
          <w:sz w:val="28"/>
          <w:szCs w:val="28"/>
        </w:rPr>
        <w:t>Example: A patient with a history of peptic ulcer may have a higher risk of gastrointestinal bleeding when using NSAIDs.</w:t>
      </w:r>
    </w:p>
    <w:p w14:paraId="0BFAD06C" w14:textId="77777777" w:rsidR="009118DD" w:rsidRPr="002968A9" w:rsidRDefault="009118DD" w:rsidP="002968A9">
      <w:pPr>
        <w:pStyle w:val="ListParagraph"/>
        <w:numPr>
          <w:ilvl w:val="0"/>
          <w:numId w:val="30"/>
        </w:numPr>
        <w:rPr>
          <w:sz w:val="28"/>
          <w:szCs w:val="28"/>
        </w:rPr>
      </w:pPr>
      <w:r w:rsidRPr="002968A9">
        <w:rPr>
          <w:sz w:val="28"/>
          <w:szCs w:val="28"/>
        </w:rPr>
        <w:t>Past history: Previous reactions to medicines may increase the possibility of a similar reaction in the future.</w:t>
      </w:r>
    </w:p>
    <w:p w14:paraId="301A6945" w14:textId="77777777" w:rsidR="009118DD" w:rsidRPr="002968A9" w:rsidRDefault="009118DD" w:rsidP="002968A9">
      <w:pPr>
        <w:pStyle w:val="ListParagraph"/>
        <w:numPr>
          <w:ilvl w:val="0"/>
          <w:numId w:val="30"/>
        </w:numPr>
        <w:rPr>
          <w:sz w:val="28"/>
          <w:szCs w:val="28"/>
        </w:rPr>
      </w:pPr>
      <w:r w:rsidRPr="002968A9">
        <w:rPr>
          <w:sz w:val="28"/>
          <w:szCs w:val="28"/>
        </w:rPr>
        <w:t>Example: A patient who previously developed a severe rash with a particular antibiotic may experience a similar reaction when exposed to it again.</w:t>
      </w:r>
    </w:p>
    <w:p w14:paraId="07560E8D" w14:textId="77777777" w:rsidR="00F443C9" w:rsidRPr="006B2D6A" w:rsidRDefault="00F443C9" w:rsidP="00722AFA">
      <w:pPr>
        <w:rPr>
          <w:sz w:val="28"/>
          <w:szCs w:val="28"/>
        </w:rPr>
      </w:pPr>
    </w:p>
    <w:p w14:paraId="00455217" w14:textId="2AEB7881" w:rsidR="009118DD" w:rsidRPr="002968A9" w:rsidRDefault="009118DD" w:rsidP="002968A9">
      <w:pPr>
        <w:pStyle w:val="ListParagraph"/>
        <w:numPr>
          <w:ilvl w:val="1"/>
          <w:numId w:val="25"/>
        </w:numPr>
        <w:rPr>
          <w:sz w:val="28"/>
          <w:szCs w:val="28"/>
        </w:rPr>
      </w:pPr>
      <w:r w:rsidRPr="002968A9">
        <w:rPr>
          <w:sz w:val="28"/>
          <w:szCs w:val="28"/>
        </w:rPr>
        <w:t>Clinical Factors</w:t>
      </w:r>
    </w:p>
    <w:p w14:paraId="7E6ADD8C" w14:textId="77777777" w:rsidR="009118DD" w:rsidRPr="00572562" w:rsidRDefault="009118DD" w:rsidP="00572562">
      <w:pPr>
        <w:pStyle w:val="ListParagraph"/>
        <w:numPr>
          <w:ilvl w:val="0"/>
          <w:numId w:val="31"/>
        </w:numPr>
        <w:rPr>
          <w:sz w:val="28"/>
          <w:szCs w:val="28"/>
        </w:rPr>
      </w:pPr>
      <w:r w:rsidRPr="00572562">
        <w:rPr>
          <w:sz w:val="28"/>
          <w:szCs w:val="28"/>
        </w:rPr>
        <w:t>Temporal relationship: The relationship between the drug and the reaction is assessed by considering the time between drug administration and the onset of the event. It may also depend on the half-life of the drug.</w:t>
      </w:r>
    </w:p>
    <w:p w14:paraId="64C22F9B" w14:textId="77777777" w:rsidR="009118DD" w:rsidRPr="00572562" w:rsidRDefault="009118DD" w:rsidP="00572562">
      <w:pPr>
        <w:pStyle w:val="ListParagraph"/>
        <w:numPr>
          <w:ilvl w:val="0"/>
          <w:numId w:val="31"/>
        </w:numPr>
        <w:rPr>
          <w:sz w:val="28"/>
          <w:szCs w:val="28"/>
        </w:rPr>
      </w:pPr>
      <w:r w:rsidRPr="00572562">
        <w:rPr>
          <w:sz w:val="28"/>
          <w:szCs w:val="28"/>
        </w:rPr>
        <w:t>Example: Drowsiness occurring shortly after taking a sedative drug may support a possible temporal relationship.</w:t>
      </w:r>
    </w:p>
    <w:p w14:paraId="08A93D2E" w14:textId="77777777" w:rsidR="009118DD" w:rsidRPr="00572562" w:rsidRDefault="009118DD" w:rsidP="00572562">
      <w:pPr>
        <w:pStyle w:val="ListParagraph"/>
        <w:numPr>
          <w:ilvl w:val="0"/>
          <w:numId w:val="31"/>
        </w:numPr>
        <w:rPr>
          <w:sz w:val="28"/>
          <w:szCs w:val="28"/>
        </w:rPr>
      </w:pPr>
      <w:proofErr w:type="spellStart"/>
      <w:r w:rsidRPr="00572562">
        <w:rPr>
          <w:sz w:val="28"/>
          <w:szCs w:val="28"/>
        </w:rPr>
        <w:t>Dechallenge</w:t>
      </w:r>
      <w:proofErr w:type="spellEnd"/>
      <w:r w:rsidRPr="00572562">
        <w:rPr>
          <w:sz w:val="28"/>
          <w:szCs w:val="28"/>
        </w:rPr>
        <w:t>/</w:t>
      </w:r>
      <w:proofErr w:type="spellStart"/>
      <w:r w:rsidRPr="00572562">
        <w:rPr>
          <w:sz w:val="28"/>
          <w:szCs w:val="28"/>
        </w:rPr>
        <w:t>Rechallenge</w:t>
      </w:r>
      <w:proofErr w:type="spellEnd"/>
      <w:r w:rsidRPr="00572562">
        <w:rPr>
          <w:sz w:val="28"/>
          <w:szCs w:val="28"/>
        </w:rPr>
        <w:t>:</w:t>
      </w:r>
    </w:p>
    <w:p w14:paraId="5F9CC874" w14:textId="77777777" w:rsidR="009118DD" w:rsidRPr="00572562" w:rsidRDefault="009118DD" w:rsidP="00572562">
      <w:pPr>
        <w:pStyle w:val="ListParagraph"/>
        <w:numPr>
          <w:ilvl w:val="0"/>
          <w:numId w:val="31"/>
        </w:numPr>
        <w:rPr>
          <w:sz w:val="28"/>
          <w:szCs w:val="28"/>
        </w:rPr>
      </w:pPr>
      <w:proofErr w:type="spellStart"/>
      <w:r w:rsidRPr="00572562">
        <w:rPr>
          <w:sz w:val="28"/>
          <w:szCs w:val="28"/>
        </w:rPr>
        <w:t>Dechallenge</w:t>
      </w:r>
      <w:proofErr w:type="spellEnd"/>
      <w:r w:rsidRPr="00572562">
        <w:rPr>
          <w:sz w:val="28"/>
          <w:szCs w:val="28"/>
        </w:rPr>
        <w:t>: Stopping the suspected drug and observing whether the adverse event improves or disappears.</w:t>
      </w:r>
    </w:p>
    <w:p w14:paraId="1CC2F391" w14:textId="77777777" w:rsidR="009118DD" w:rsidRPr="00572562" w:rsidRDefault="009118DD" w:rsidP="00572562">
      <w:pPr>
        <w:pStyle w:val="ListParagraph"/>
        <w:numPr>
          <w:ilvl w:val="0"/>
          <w:numId w:val="31"/>
        </w:numPr>
        <w:rPr>
          <w:sz w:val="28"/>
          <w:szCs w:val="28"/>
        </w:rPr>
      </w:pPr>
      <w:proofErr w:type="spellStart"/>
      <w:r w:rsidRPr="00572562">
        <w:rPr>
          <w:sz w:val="28"/>
          <w:szCs w:val="28"/>
        </w:rPr>
        <w:t>Rechallenge</w:t>
      </w:r>
      <w:proofErr w:type="spellEnd"/>
      <w:r w:rsidRPr="00572562">
        <w:rPr>
          <w:sz w:val="28"/>
          <w:szCs w:val="28"/>
        </w:rPr>
        <w:t>: Restarting the suspected drug and observing whether the adverse event occurs again.</w:t>
      </w:r>
    </w:p>
    <w:p w14:paraId="7E06CAF4" w14:textId="77777777" w:rsidR="009118DD" w:rsidRPr="00572562" w:rsidRDefault="009118DD" w:rsidP="00572562">
      <w:pPr>
        <w:pStyle w:val="ListParagraph"/>
        <w:numPr>
          <w:ilvl w:val="0"/>
          <w:numId w:val="31"/>
        </w:numPr>
        <w:rPr>
          <w:sz w:val="28"/>
          <w:szCs w:val="28"/>
        </w:rPr>
      </w:pPr>
      <w:r w:rsidRPr="00572562">
        <w:rPr>
          <w:sz w:val="28"/>
          <w:szCs w:val="28"/>
        </w:rPr>
        <w:t>Response to corrective treatment: This refers to treatment given to manage the adverse event.</w:t>
      </w:r>
    </w:p>
    <w:p w14:paraId="65A4E534" w14:textId="77777777" w:rsidR="009118DD" w:rsidRPr="00572562" w:rsidRDefault="009118DD" w:rsidP="00572562">
      <w:pPr>
        <w:pStyle w:val="ListParagraph"/>
        <w:numPr>
          <w:ilvl w:val="0"/>
          <w:numId w:val="31"/>
        </w:numPr>
        <w:rPr>
          <w:sz w:val="28"/>
          <w:szCs w:val="28"/>
        </w:rPr>
      </w:pPr>
      <w:r w:rsidRPr="00572562">
        <w:rPr>
          <w:sz w:val="28"/>
          <w:szCs w:val="28"/>
        </w:rPr>
        <w:t>Example: If a patient develops an allergic rash and it improves after receiving an antihistamine, this may support the management of the suspected reaction. If the rash does not improve, another cause may need to be considered.</w:t>
      </w:r>
    </w:p>
    <w:p w14:paraId="1C1104A0" w14:textId="77777777" w:rsidR="003201DE" w:rsidRPr="006B2D6A" w:rsidRDefault="003201DE" w:rsidP="00722AFA">
      <w:pPr>
        <w:rPr>
          <w:sz w:val="28"/>
          <w:szCs w:val="28"/>
        </w:rPr>
      </w:pPr>
    </w:p>
    <w:p w14:paraId="4DBDA7D8" w14:textId="286E6316" w:rsidR="003201DE" w:rsidRPr="00036498" w:rsidRDefault="003201DE" w:rsidP="00036498">
      <w:pPr>
        <w:pStyle w:val="ListParagraph"/>
        <w:numPr>
          <w:ilvl w:val="0"/>
          <w:numId w:val="25"/>
        </w:numPr>
        <w:rPr>
          <w:sz w:val="28"/>
          <w:szCs w:val="28"/>
        </w:rPr>
      </w:pPr>
      <w:r w:rsidRPr="00036498">
        <w:rPr>
          <w:sz w:val="28"/>
          <w:szCs w:val="28"/>
        </w:rPr>
        <w:t>Causality Assessment Methods</w:t>
      </w:r>
    </w:p>
    <w:p w14:paraId="7FDCEBFF" w14:textId="77777777" w:rsidR="003201DE" w:rsidRPr="006B2D6A" w:rsidRDefault="003201DE" w:rsidP="00722AFA">
      <w:pPr>
        <w:rPr>
          <w:sz w:val="28"/>
          <w:szCs w:val="28"/>
        </w:rPr>
      </w:pPr>
      <w:r w:rsidRPr="006B2D6A">
        <w:rPr>
          <w:sz w:val="28"/>
          <w:szCs w:val="28"/>
        </w:rPr>
        <w:t>A. The Naranjo Algorithm</w:t>
      </w:r>
    </w:p>
    <w:p w14:paraId="3C1F3F11" w14:textId="1BA75956" w:rsidR="0040219B" w:rsidRPr="006B2D6A" w:rsidRDefault="003201DE" w:rsidP="00722AFA">
      <w:pPr>
        <w:rPr>
          <w:sz w:val="28"/>
          <w:szCs w:val="28"/>
        </w:rPr>
      </w:pPr>
      <w:r w:rsidRPr="006B2D6A">
        <w:rPr>
          <w:sz w:val="28"/>
          <w:szCs w:val="28"/>
        </w:rPr>
        <w:lastRenderedPageBreak/>
        <w:t>The Naranjo Algorithm is a 10-question scoring tool used for causality assessment. Each question is answered as Yes / No / Do Not Know, with points assigned as +1, +2, -1, or 0, depending on the question.</w:t>
      </w:r>
    </w:p>
    <w:p w14:paraId="2E5BE7CF" w14:textId="53E5D9FC" w:rsidR="0040219B" w:rsidRPr="006B2D6A" w:rsidRDefault="003201DE" w:rsidP="00722AFA">
      <w:pPr>
        <w:rPr>
          <w:sz w:val="28"/>
          <w:szCs w:val="28"/>
        </w:rPr>
      </w:pPr>
      <w:r w:rsidRPr="006B2D6A">
        <w:rPr>
          <w:sz w:val="28"/>
          <w:szCs w:val="28"/>
        </w:rPr>
        <w:t>Score Interpretation Table</w:t>
      </w:r>
    </w:p>
    <w:tbl>
      <w:tblPr>
        <w:tblStyle w:val="TableGrid"/>
        <w:tblW w:w="0" w:type="auto"/>
        <w:tblInd w:w="435" w:type="dxa"/>
        <w:tblLook w:val="04A0" w:firstRow="1" w:lastRow="0" w:firstColumn="1" w:lastColumn="0" w:noHBand="0" w:noVBand="1"/>
      </w:tblPr>
      <w:tblGrid>
        <w:gridCol w:w="3494"/>
        <w:gridCol w:w="3494"/>
      </w:tblGrid>
      <w:tr w:rsidR="00FF3039" w:rsidRPr="006B2D6A" w14:paraId="02FA9794" w14:textId="77777777" w:rsidTr="002F7A8E">
        <w:trPr>
          <w:trHeight w:val="461"/>
        </w:trPr>
        <w:tc>
          <w:tcPr>
            <w:tcW w:w="3494" w:type="dxa"/>
          </w:tcPr>
          <w:p w14:paraId="6E05C07C" w14:textId="40304B1B" w:rsidR="00FF3039" w:rsidRPr="006B2D6A" w:rsidRDefault="00DD68EF" w:rsidP="00722AFA">
            <w:pPr>
              <w:rPr>
                <w:sz w:val="28"/>
                <w:szCs w:val="28"/>
              </w:rPr>
            </w:pPr>
            <w:r w:rsidRPr="006B2D6A">
              <w:rPr>
                <w:sz w:val="28"/>
                <w:szCs w:val="28"/>
              </w:rPr>
              <w:t>Total Score</w:t>
            </w:r>
          </w:p>
        </w:tc>
        <w:tc>
          <w:tcPr>
            <w:tcW w:w="3494" w:type="dxa"/>
          </w:tcPr>
          <w:p w14:paraId="6DB63ACC" w14:textId="19D09290" w:rsidR="00FF3039" w:rsidRPr="006B2D6A" w:rsidRDefault="00DD68EF" w:rsidP="00722AFA">
            <w:pPr>
              <w:rPr>
                <w:sz w:val="28"/>
                <w:szCs w:val="28"/>
              </w:rPr>
            </w:pPr>
            <w:r w:rsidRPr="006B2D6A">
              <w:rPr>
                <w:sz w:val="28"/>
                <w:szCs w:val="28"/>
              </w:rPr>
              <w:t>Causality Assessment</w:t>
            </w:r>
          </w:p>
        </w:tc>
      </w:tr>
      <w:tr w:rsidR="00FF3039" w:rsidRPr="006B2D6A" w14:paraId="20FA2F97" w14:textId="77777777" w:rsidTr="002F7A8E">
        <w:trPr>
          <w:trHeight w:val="461"/>
        </w:trPr>
        <w:tc>
          <w:tcPr>
            <w:tcW w:w="3494" w:type="dxa"/>
            <w:vAlign w:val="center"/>
          </w:tcPr>
          <w:p w14:paraId="6295B8CB" w14:textId="386A4FD9" w:rsidR="00FF3039" w:rsidRPr="006B2D6A" w:rsidRDefault="00A50840" w:rsidP="00722AFA">
            <w:pPr>
              <w:rPr>
                <w:sz w:val="28"/>
                <w:szCs w:val="28"/>
              </w:rPr>
            </w:pPr>
            <w:r w:rsidRPr="006B2D6A">
              <w:rPr>
                <w:sz w:val="28"/>
                <w:szCs w:val="28"/>
              </w:rPr>
              <w:t>≥ 9</w:t>
            </w:r>
          </w:p>
        </w:tc>
        <w:tc>
          <w:tcPr>
            <w:tcW w:w="3494" w:type="dxa"/>
            <w:vAlign w:val="center"/>
          </w:tcPr>
          <w:p w14:paraId="24DF2E26" w14:textId="7A2FF824" w:rsidR="00A50840" w:rsidRPr="006B2D6A" w:rsidRDefault="00A50840" w:rsidP="00722AFA">
            <w:pPr>
              <w:rPr>
                <w:sz w:val="28"/>
                <w:szCs w:val="28"/>
              </w:rPr>
            </w:pPr>
            <w:r w:rsidRPr="006B2D6A">
              <w:rPr>
                <w:sz w:val="28"/>
                <w:szCs w:val="28"/>
              </w:rPr>
              <w:t>Definite</w:t>
            </w:r>
          </w:p>
        </w:tc>
      </w:tr>
      <w:tr w:rsidR="00FF3039" w:rsidRPr="006B2D6A" w14:paraId="3A80EAF5" w14:textId="77777777" w:rsidTr="002F7A8E">
        <w:trPr>
          <w:trHeight w:val="479"/>
        </w:trPr>
        <w:tc>
          <w:tcPr>
            <w:tcW w:w="3494" w:type="dxa"/>
            <w:vAlign w:val="center"/>
          </w:tcPr>
          <w:p w14:paraId="390067C8" w14:textId="7364DDB9" w:rsidR="00FF3039" w:rsidRPr="006B2D6A" w:rsidRDefault="00EB4EEA" w:rsidP="00722AFA">
            <w:pPr>
              <w:rPr>
                <w:sz w:val="28"/>
                <w:szCs w:val="28"/>
              </w:rPr>
            </w:pPr>
            <w:r w:rsidRPr="006B2D6A">
              <w:rPr>
                <w:sz w:val="28"/>
                <w:szCs w:val="28"/>
              </w:rPr>
              <w:t>5-8</w:t>
            </w:r>
          </w:p>
        </w:tc>
        <w:tc>
          <w:tcPr>
            <w:tcW w:w="3494" w:type="dxa"/>
          </w:tcPr>
          <w:p w14:paraId="5F9A38C6" w14:textId="08192E8E" w:rsidR="00FF3039" w:rsidRPr="006B2D6A" w:rsidRDefault="00EB4EEA" w:rsidP="00722AFA">
            <w:pPr>
              <w:rPr>
                <w:sz w:val="28"/>
                <w:szCs w:val="28"/>
              </w:rPr>
            </w:pPr>
            <w:r w:rsidRPr="006B2D6A">
              <w:rPr>
                <w:sz w:val="28"/>
                <w:szCs w:val="28"/>
              </w:rPr>
              <w:t>Probable</w:t>
            </w:r>
          </w:p>
        </w:tc>
      </w:tr>
      <w:tr w:rsidR="00FF3039" w:rsidRPr="006B2D6A" w14:paraId="71C99C35" w14:textId="77777777" w:rsidTr="002F7A8E">
        <w:trPr>
          <w:trHeight w:val="461"/>
        </w:trPr>
        <w:tc>
          <w:tcPr>
            <w:tcW w:w="3494" w:type="dxa"/>
            <w:vAlign w:val="center"/>
          </w:tcPr>
          <w:p w14:paraId="7EC28979" w14:textId="352DB1C0" w:rsidR="00FF3039" w:rsidRPr="006B2D6A" w:rsidRDefault="00EB4EEA" w:rsidP="00722AFA">
            <w:pPr>
              <w:rPr>
                <w:sz w:val="28"/>
                <w:szCs w:val="28"/>
              </w:rPr>
            </w:pPr>
            <w:r w:rsidRPr="006B2D6A">
              <w:rPr>
                <w:sz w:val="28"/>
                <w:szCs w:val="28"/>
              </w:rPr>
              <w:t>1-4</w:t>
            </w:r>
          </w:p>
        </w:tc>
        <w:tc>
          <w:tcPr>
            <w:tcW w:w="3494" w:type="dxa"/>
            <w:vAlign w:val="center"/>
          </w:tcPr>
          <w:p w14:paraId="0820EA4F" w14:textId="65DF5D55" w:rsidR="00FF3039" w:rsidRPr="006B2D6A" w:rsidRDefault="00EB4EEA" w:rsidP="00722AFA">
            <w:pPr>
              <w:rPr>
                <w:sz w:val="28"/>
                <w:szCs w:val="28"/>
              </w:rPr>
            </w:pPr>
            <w:r w:rsidRPr="006B2D6A">
              <w:rPr>
                <w:sz w:val="28"/>
                <w:szCs w:val="28"/>
              </w:rPr>
              <w:t>Possible</w:t>
            </w:r>
          </w:p>
        </w:tc>
      </w:tr>
      <w:tr w:rsidR="00FF3039" w:rsidRPr="006B2D6A" w14:paraId="6B822BDE" w14:textId="77777777" w:rsidTr="002F7A8E">
        <w:trPr>
          <w:trHeight w:val="461"/>
        </w:trPr>
        <w:tc>
          <w:tcPr>
            <w:tcW w:w="3494" w:type="dxa"/>
            <w:vAlign w:val="center"/>
          </w:tcPr>
          <w:p w14:paraId="5E7A9058" w14:textId="450C70BA" w:rsidR="00FF3039" w:rsidRPr="006B2D6A" w:rsidRDefault="00EB4EEA" w:rsidP="00722AFA">
            <w:pPr>
              <w:rPr>
                <w:sz w:val="28"/>
                <w:szCs w:val="28"/>
              </w:rPr>
            </w:pPr>
            <w:r w:rsidRPr="006B2D6A">
              <w:rPr>
                <w:sz w:val="28"/>
                <w:szCs w:val="28"/>
              </w:rPr>
              <w:t>0</w:t>
            </w:r>
          </w:p>
        </w:tc>
        <w:tc>
          <w:tcPr>
            <w:tcW w:w="3494" w:type="dxa"/>
            <w:vAlign w:val="center"/>
          </w:tcPr>
          <w:p w14:paraId="1F0059CF" w14:textId="55573397" w:rsidR="00FF3039" w:rsidRPr="006B2D6A" w:rsidRDefault="00EB4EEA" w:rsidP="00722AFA">
            <w:pPr>
              <w:rPr>
                <w:sz w:val="28"/>
                <w:szCs w:val="28"/>
              </w:rPr>
            </w:pPr>
            <w:r w:rsidRPr="006B2D6A">
              <w:rPr>
                <w:sz w:val="28"/>
                <w:szCs w:val="28"/>
              </w:rPr>
              <w:t>Doubtful</w:t>
            </w:r>
          </w:p>
        </w:tc>
      </w:tr>
    </w:tbl>
    <w:p w14:paraId="154A5921" w14:textId="69FC6459" w:rsidR="0040219B" w:rsidRPr="006B2D6A" w:rsidRDefault="00875955" w:rsidP="00722AFA">
      <w:pPr>
        <w:rPr>
          <w:sz w:val="28"/>
          <w:szCs w:val="28"/>
        </w:rPr>
      </w:pPr>
      <w:r w:rsidRPr="006B2D6A">
        <w:rPr>
          <w:sz w:val="28"/>
          <w:szCs w:val="28"/>
        </w:rPr>
        <w:drawing>
          <wp:anchor distT="0" distB="0" distL="114300" distR="114300" simplePos="0" relativeHeight="251659264" behindDoc="0" locked="0" layoutInCell="1" allowOverlap="1" wp14:anchorId="0BA63844" wp14:editId="1ACD2C7D">
            <wp:simplePos x="0" y="0"/>
            <wp:positionH relativeFrom="column">
              <wp:posOffset>24130</wp:posOffset>
            </wp:positionH>
            <wp:positionV relativeFrom="paragraph">
              <wp:posOffset>353060</wp:posOffset>
            </wp:positionV>
            <wp:extent cx="5943600" cy="4963795"/>
            <wp:effectExtent l="0" t="0" r="0" b="8255"/>
            <wp:wrapTopAndBottom/>
            <wp:docPr id="206772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25441" name="Picture 2067725441"/>
                    <pic:cNvPicPr/>
                  </pic:nvPicPr>
                  <pic:blipFill>
                    <a:blip r:embed="rId5">
                      <a:extLst>
                        <a:ext uri="{28A0092B-C50C-407E-A947-70E740481C1C}">
                          <a14:useLocalDpi xmlns:a14="http://schemas.microsoft.com/office/drawing/2010/main" val="0"/>
                        </a:ext>
                      </a:extLst>
                    </a:blip>
                    <a:stretch>
                      <a:fillRect/>
                    </a:stretch>
                  </pic:blipFill>
                  <pic:spPr>
                    <a:xfrm>
                      <a:off x="0" y="0"/>
                      <a:ext cx="5943600" cy="4963795"/>
                    </a:xfrm>
                    <a:prstGeom prst="rect">
                      <a:avLst/>
                    </a:prstGeom>
                  </pic:spPr>
                </pic:pic>
              </a:graphicData>
            </a:graphic>
          </wp:anchor>
        </w:drawing>
      </w:r>
    </w:p>
    <w:p w14:paraId="66F6993A" w14:textId="6AE5274D" w:rsidR="00875955" w:rsidRPr="006B2D6A" w:rsidRDefault="00875955" w:rsidP="00722AFA">
      <w:pPr>
        <w:rPr>
          <w:sz w:val="28"/>
          <w:szCs w:val="28"/>
        </w:rPr>
      </w:pPr>
      <w:r w:rsidRPr="0085595A">
        <w:rPr>
          <w:b/>
          <w:bCs/>
          <w:sz w:val="28"/>
          <w:szCs w:val="28"/>
        </w:rPr>
        <w:t>Case</w:t>
      </w:r>
      <w:r w:rsidR="00C6048D" w:rsidRPr="0085595A">
        <w:rPr>
          <w:b/>
          <w:bCs/>
          <w:sz w:val="28"/>
          <w:szCs w:val="28"/>
        </w:rPr>
        <w:t xml:space="preserve"> 1</w:t>
      </w:r>
      <w:r w:rsidRPr="0085595A">
        <w:rPr>
          <w:b/>
          <w:bCs/>
          <w:sz w:val="28"/>
          <w:szCs w:val="28"/>
        </w:rPr>
        <w:t xml:space="preserve">: </w:t>
      </w:r>
      <w:r w:rsidRPr="006B2D6A">
        <w:rPr>
          <w:sz w:val="28"/>
          <w:szCs w:val="28"/>
        </w:rPr>
        <w:t>On June 1, Raj started Amoxicillin 500mg three times daily for a throat infection.</w:t>
      </w:r>
    </w:p>
    <w:p w14:paraId="6F1EABFA" w14:textId="77777777" w:rsidR="00776A9E" w:rsidRPr="006B2D6A" w:rsidRDefault="00875955" w:rsidP="00722AFA">
      <w:pPr>
        <w:rPr>
          <w:sz w:val="28"/>
          <w:szCs w:val="28"/>
        </w:rPr>
      </w:pPr>
      <w:r w:rsidRPr="006B2D6A">
        <w:rPr>
          <w:sz w:val="28"/>
          <w:szCs w:val="28"/>
        </w:rPr>
        <w:t>June 2: Developed itchy rashes all over his body.</w:t>
      </w:r>
    </w:p>
    <w:p w14:paraId="7CC60A77" w14:textId="77777777" w:rsidR="00776A9E" w:rsidRPr="006B2D6A" w:rsidRDefault="00875955" w:rsidP="00722AFA">
      <w:pPr>
        <w:rPr>
          <w:sz w:val="28"/>
          <w:szCs w:val="28"/>
        </w:rPr>
      </w:pPr>
      <w:r w:rsidRPr="006B2D6A">
        <w:rPr>
          <w:sz w:val="28"/>
          <w:szCs w:val="28"/>
        </w:rPr>
        <w:t>June 3: Dose reduced to 250mg TID.</w:t>
      </w:r>
    </w:p>
    <w:p w14:paraId="39F28ED2" w14:textId="77777777" w:rsidR="00776A9E" w:rsidRPr="006B2D6A" w:rsidRDefault="00875955" w:rsidP="00722AFA">
      <w:pPr>
        <w:rPr>
          <w:sz w:val="28"/>
          <w:szCs w:val="28"/>
        </w:rPr>
      </w:pPr>
      <w:r w:rsidRPr="006B2D6A">
        <w:rPr>
          <w:sz w:val="28"/>
          <w:szCs w:val="28"/>
        </w:rPr>
        <w:t>June 4: Rash disappeared.</w:t>
      </w:r>
    </w:p>
    <w:p w14:paraId="7D461EA5" w14:textId="77777777" w:rsidR="00776A9E" w:rsidRPr="006B2D6A" w:rsidRDefault="00875955" w:rsidP="00722AFA">
      <w:pPr>
        <w:rPr>
          <w:sz w:val="28"/>
          <w:szCs w:val="28"/>
        </w:rPr>
      </w:pPr>
      <w:r w:rsidRPr="006B2D6A">
        <w:rPr>
          <w:sz w:val="28"/>
          <w:szCs w:val="28"/>
        </w:rPr>
        <w:lastRenderedPageBreak/>
        <w:t>Due to worsening infection, dose increased back to 500mg.</w:t>
      </w:r>
    </w:p>
    <w:p w14:paraId="0267DFAB" w14:textId="6781E549" w:rsidR="00875955" w:rsidRPr="006B2D6A" w:rsidRDefault="00875955" w:rsidP="00722AFA">
      <w:pPr>
        <w:rPr>
          <w:sz w:val="28"/>
          <w:szCs w:val="28"/>
        </w:rPr>
      </w:pPr>
      <w:r w:rsidRPr="006B2D6A">
        <w:rPr>
          <w:sz w:val="28"/>
          <w:szCs w:val="28"/>
        </w:rPr>
        <w:t>June 6: Generalized itchy rashes reappeared.</w:t>
      </w:r>
    </w:p>
    <w:p w14:paraId="481CF6B4" w14:textId="77777777" w:rsidR="00667CB0" w:rsidRPr="006B2D6A" w:rsidRDefault="00875955" w:rsidP="00722AFA">
      <w:pPr>
        <w:rPr>
          <w:sz w:val="28"/>
          <w:szCs w:val="28"/>
        </w:rPr>
      </w:pPr>
      <w:r w:rsidRPr="006B2D6A">
        <w:rPr>
          <w:sz w:val="28"/>
          <w:szCs w:val="28"/>
        </w:rPr>
        <w:t>Applying the Naranjo questions:</w:t>
      </w:r>
    </w:p>
    <w:p w14:paraId="35F6DD1D" w14:textId="065A6A7E" w:rsidR="00FA79A9" w:rsidRPr="006B2D6A" w:rsidRDefault="00667CB0" w:rsidP="00722AFA">
      <w:pPr>
        <w:rPr>
          <w:sz w:val="28"/>
          <w:szCs w:val="28"/>
        </w:rPr>
      </w:pPr>
      <w:r w:rsidRPr="006B2D6A">
        <w:rPr>
          <w:sz w:val="28"/>
          <w:szCs w:val="28"/>
        </w:rPr>
        <w:drawing>
          <wp:anchor distT="0" distB="0" distL="114300" distR="114300" simplePos="0" relativeHeight="251660288" behindDoc="0" locked="0" layoutInCell="1" allowOverlap="1" wp14:anchorId="1418ACD8" wp14:editId="0DEE556C">
            <wp:simplePos x="0" y="0"/>
            <wp:positionH relativeFrom="column">
              <wp:posOffset>-59690</wp:posOffset>
            </wp:positionH>
            <wp:positionV relativeFrom="paragraph">
              <wp:posOffset>111760</wp:posOffset>
            </wp:positionV>
            <wp:extent cx="5943600" cy="4914900"/>
            <wp:effectExtent l="0" t="0" r="0" b="0"/>
            <wp:wrapTopAndBottom/>
            <wp:docPr id="70143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33836" name="Picture 701433836"/>
                    <pic:cNvPicPr/>
                  </pic:nvPicPr>
                  <pic:blipFill>
                    <a:blip r:embed="rId6">
                      <a:extLst>
                        <a:ext uri="{28A0092B-C50C-407E-A947-70E740481C1C}">
                          <a14:useLocalDpi xmlns:a14="http://schemas.microsoft.com/office/drawing/2010/main" val="0"/>
                        </a:ext>
                      </a:extLst>
                    </a:blip>
                    <a:stretch>
                      <a:fillRect/>
                    </a:stretch>
                  </pic:blipFill>
                  <pic:spPr>
                    <a:xfrm>
                      <a:off x="0" y="0"/>
                      <a:ext cx="5943600" cy="4914900"/>
                    </a:xfrm>
                    <a:prstGeom prst="rect">
                      <a:avLst/>
                    </a:prstGeom>
                  </pic:spPr>
                </pic:pic>
              </a:graphicData>
            </a:graphic>
          </wp:anchor>
        </w:drawing>
      </w:r>
      <w:r w:rsidR="00E2072A" w:rsidRPr="006B2D6A">
        <w:rPr>
          <w:sz w:val="28"/>
          <w:szCs w:val="28"/>
        </w:rPr>
        <w:t>Causality Assessment – Definite.</w:t>
      </w:r>
    </w:p>
    <w:p w14:paraId="6AADE294" w14:textId="77777777" w:rsidR="006F031F" w:rsidRPr="006B2D6A" w:rsidRDefault="006F031F" w:rsidP="00722AFA">
      <w:pPr>
        <w:rPr>
          <w:sz w:val="28"/>
          <w:szCs w:val="28"/>
        </w:rPr>
      </w:pPr>
      <w:r w:rsidRPr="006B2D6A">
        <w:rPr>
          <w:sz w:val="28"/>
          <w:szCs w:val="28"/>
        </w:rPr>
        <w:t>B. WHO-UMC Causality Assessment System</w:t>
      </w:r>
    </w:p>
    <w:p w14:paraId="318C26C6" w14:textId="57D09D31" w:rsidR="006F031F" w:rsidRPr="006B2D6A" w:rsidRDefault="006F031F" w:rsidP="00722AFA">
      <w:pPr>
        <w:rPr>
          <w:sz w:val="28"/>
          <w:szCs w:val="28"/>
        </w:rPr>
      </w:pPr>
      <w:r w:rsidRPr="006B2D6A">
        <w:rPr>
          <w:sz w:val="28"/>
          <w:szCs w:val="28"/>
        </w:rPr>
        <w:t>The WHO-UMC Causality Assessment System was developed by the World Health Organization (WHO) and the Uppsala Monitoring Centre (UMC).</w:t>
      </w:r>
    </w:p>
    <w:p w14:paraId="6CA76718" w14:textId="133BB01A" w:rsidR="004E4F7C" w:rsidRPr="006B2D6A" w:rsidRDefault="00AE67A3" w:rsidP="00722AFA">
      <w:pPr>
        <w:rPr>
          <w:sz w:val="28"/>
          <w:szCs w:val="28"/>
        </w:rPr>
      </w:pPr>
      <w:r w:rsidRPr="006B2D6A">
        <w:rPr>
          <w:sz w:val="28"/>
          <w:szCs w:val="28"/>
        </w:rPr>
        <w:lastRenderedPageBreak/>
        <w:drawing>
          <wp:anchor distT="0" distB="0" distL="114300" distR="114300" simplePos="0" relativeHeight="251663360" behindDoc="0" locked="0" layoutInCell="1" allowOverlap="1" wp14:anchorId="1EABA416" wp14:editId="64381903">
            <wp:simplePos x="0" y="0"/>
            <wp:positionH relativeFrom="column">
              <wp:posOffset>-119380</wp:posOffset>
            </wp:positionH>
            <wp:positionV relativeFrom="paragraph">
              <wp:posOffset>320675</wp:posOffset>
            </wp:positionV>
            <wp:extent cx="5943600" cy="6118860"/>
            <wp:effectExtent l="0" t="0" r="0" b="0"/>
            <wp:wrapTopAndBottom/>
            <wp:docPr id="1859371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71467" name="Picture 1859371467"/>
                    <pic:cNvPicPr/>
                  </pic:nvPicPr>
                  <pic:blipFill>
                    <a:blip r:embed="rId7">
                      <a:extLst>
                        <a:ext uri="{28A0092B-C50C-407E-A947-70E740481C1C}">
                          <a14:useLocalDpi xmlns:a14="http://schemas.microsoft.com/office/drawing/2010/main" val="0"/>
                        </a:ext>
                      </a:extLst>
                    </a:blip>
                    <a:stretch>
                      <a:fillRect/>
                    </a:stretch>
                  </pic:blipFill>
                  <pic:spPr>
                    <a:xfrm>
                      <a:off x="0" y="0"/>
                      <a:ext cx="5943600" cy="6118860"/>
                    </a:xfrm>
                    <a:prstGeom prst="rect">
                      <a:avLst/>
                    </a:prstGeom>
                  </pic:spPr>
                </pic:pic>
              </a:graphicData>
            </a:graphic>
          </wp:anchor>
        </w:drawing>
      </w:r>
    </w:p>
    <w:p w14:paraId="1A5D4FD6" w14:textId="1AE9D576" w:rsidR="00AE67A3" w:rsidRPr="006B2D6A" w:rsidRDefault="0085595A" w:rsidP="00722AFA">
      <w:pPr>
        <w:rPr>
          <w:sz w:val="28"/>
          <w:szCs w:val="28"/>
        </w:rPr>
      </w:pPr>
      <w:r>
        <w:rPr>
          <w:sz w:val="28"/>
          <w:szCs w:val="28"/>
        </w:rPr>
        <w:t>A</w:t>
      </w:r>
      <w:r w:rsidR="00AE67A3" w:rsidRPr="006B2D6A">
        <w:rPr>
          <w:sz w:val="28"/>
          <w:szCs w:val="28"/>
        </w:rPr>
        <w:t>pplying the WHO-UMC Causality Assessment System</w:t>
      </w:r>
    </w:p>
    <w:p w14:paraId="0C0A0B58" w14:textId="77777777" w:rsidR="00401817" w:rsidRPr="006B2D6A" w:rsidRDefault="008C3E57" w:rsidP="00722AFA">
      <w:pPr>
        <w:rPr>
          <w:sz w:val="28"/>
          <w:szCs w:val="28"/>
        </w:rPr>
      </w:pPr>
      <w:r w:rsidRPr="006B2D6A">
        <w:rPr>
          <w:sz w:val="28"/>
          <w:szCs w:val="28"/>
        </w:rPr>
        <w:t xml:space="preserve">The rash appeared after amoxicillin was started, cannot be explained by another drug or disease, disappeared after dose reduction, and reappeared after the dose was increased. Thus, the timing, withdrawal response, and </w:t>
      </w:r>
      <w:proofErr w:type="spellStart"/>
      <w:r w:rsidRPr="006B2D6A">
        <w:rPr>
          <w:sz w:val="28"/>
          <w:szCs w:val="28"/>
        </w:rPr>
        <w:t>rechallenge</w:t>
      </w:r>
      <w:proofErr w:type="spellEnd"/>
      <w:r w:rsidRPr="006B2D6A">
        <w:rPr>
          <w:sz w:val="28"/>
          <w:szCs w:val="28"/>
        </w:rPr>
        <w:t xml:space="preserve"> support Certain causality.</w:t>
      </w:r>
    </w:p>
    <w:p w14:paraId="51A85A7F" w14:textId="4988469F" w:rsidR="00185F07" w:rsidRPr="006B2D6A" w:rsidRDefault="00F30D52" w:rsidP="00722AFA">
      <w:pPr>
        <w:rPr>
          <w:sz w:val="28"/>
          <w:szCs w:val="28"/>
        </w:rPr>
      </w:pPr>
      <w:r w:rsidRPr="0085595A">
        <w:rPr>
          <w:b/>
          <w:bCs/>
          <w:sz w:val="28"/>
          <w:szCs w:val="28"/>
        </w:rPr>
        <w:t>Case</w:t>
      </w:r>
      <w:r w:rsidR="00667CB0" w:rsidRPr="0085595A">
        <w:rPr>
          <w:b/>
          <w:bCs/>
          <w:sz w:val="28"/>
          <w:szCs w:val="28"/>
        </w:rPr>
        <w:t xml:space="preserve"> 2</w:t>
      </w:r>
      <w:r w:rsidR="00185F07" w:rsidRPr="0085595A">
        <w:rPr>
          <w:b/>
          <w:bCs/>
          <w:sz w:val="28"/>
          <w:szCs w:val="28"/>
        </w:rPr>
        <w:t xml:space="preserve"> – </w:t>
      </w:r>
      <w:r w:rsidR="00185F07" w:rsidRPr="006B2D6A">
        <w:rPr>
          <w:sz w:val="28"/>
          <w:szCs w:val="28"/>
        </w:rPr>
        <w:t>The Naranjo Algorithm</w:t>
      </w:r>
    </w:p>
    <w:p w14:paraId="30C0BF78" w14:textId="77777777" w:rsidR="00F30D52" w:rsidRPr="006B2D6A" w:rsidRDefault="00F30D52" w:rsidP="00722AFA">
      <w:pPr>
        <w:rPr>
          <w:sz w:val="28"/>
          <w:szCs w:val="28"/>
        </w:rPr>
      </w:pPr>
      <w:r w:rsidRPr="006B2D6A">
        <w:rPr>
          <w:sz w:val="28"/>
          <w:szCs w:val="28"/>
        </w:rPr>
        <w:t>A 35-year-old patient was prescribed Ibuprofen 400 mg three times daily for severe dental pain.</w:t>
      </w:r>
    </w:p>
    <w:p w14:paraId="6D7E2B8B" w14:textId="77777777" w:rsidR="00F30D52" w:rsidRPr="006B2D6A" w:rsidRDefault="00F30D52" w:rsidP="00722AFA">
      <w:pPr>
        <w:rPr>
          <w:sz w:val="28"/>
          <w:szCs w:val="28"/>
        </w:rPr>
      </w:pPr>
      <w:r w:rsidRPr="006B2D6A">
        <w:rPr>
          <w:sz w:val="28"/>
          <w:szCs w:val="28"/>
        </w:rPr>
        <w:t>June 1: Started Ibuprofen 400 mg TID.</w:t>
      </w:r>
    </w:p>
    <w:p w14:paraId="1C59623E" w14:textId="53A458EB" w:rsidR="00F30D52" w:rsidRPr="006B2D6A" w:rsidRDefault="00F30D52" w:rsidP="00722AFA">
      <w:pPr>
        <w:rPr>
          <w:sz w:val="28"/>
          <w:szCs w:val="28"/>
        </w:rPr>
      </w:pPr>
      <w:r w:rsidRPr="006B2D6A">
        <w:rPr>
          <w:sz w:val="28"/>
          <w:szCs w:val="28"/>
        </w:rPr>
        <w:t>June 3: Developed severe stomach pain and black-</w:t>
      </w:r>
      <w:proofErr w:type="spellStart"/>
      <w:r w:rsidRPr="006B2D6A">
        <w:rPr>
          <w:sz w:val="28"/>
          <w:szCs w:val="28"/>
        </w:rPr>
        <w:t>colored</w:t>
      </w:r>
      <w:proofErr w:type="spellEnd"/>
      <w:r w:rsidRPr="006B2D6A">
        <w:rPr>
          <w:sz w:val="28"/>
          <w:szCs w:val="28"/>
        </w:rPr>
        <w:t xml:space="preserve"> stools.</w:t>
      </w:r>
    </w:p>
    <w:p w14:paraId="2C1AA9D5" w14:textId="77777777" w:rsidR="00F30D52" w:rsidRPr="006B2D6A" w:rsidRDefault="00F30D52" w:rsidP="00722AFA">
      <w:pPr>
        <w:rPr>
          <w:sz w:val="28"/>
          <w:szCs w:val="28"/>
        </w:rPr>
      </w:pPr>
      <w:r w:rsidRPr="006B2D6A">
        <w:rPr>
          <w:sz w:val="28"/>
          <w:szCs w:val="28"/>
        </w:rPr>
        <w:lastRenderedPageBreak/>
        <w:t>June 4: Ibuprofen was stopped.</w:t>
      </w:r>
    </w:p>
    <w:p w14:paraId="15F22AE5" w14:textId="77777777" w:rsidR="00F30D52" w:rsidRPr="006B2D6A" w:rsidRDefault="00F30D52" w:rsidP="00722AFA">
      <w:pPr>
        <w:rPr>
          <w:sz w:val="28"/>
          <w:szCs w:val="28"/>
        </w:rPr>
      </w:pPr>
      <w:r w:rsidRPr="006B2D6A">
        <w:rPr>
          <w:sz w:val="28"/>
          <w:szCs w:val="28"/>
        </w:rPr>
        <w:t>June 6: Stomach pain improved and black stools stopped.</w:t>
      </w:r>
    </w:p>
    <w:p w14:paraId="066456DB" w14:textId="77777777" w:rsidR="00F30D52" w:rsidRPr="006B2D6A" w:rsidRDefault="00F30D52" w:rsidP="00722AFA">
      <w:pPr>
        <w:rPr>
          <w:sz w:val="28"/>
          <w:szCs w:val="28"/>
        </w:rPr>
      </w:pPr>
      <w:r w:rsidRPr="006B2D6A">
        <w:rPr>
          <w:sz w:val="28"/>
          <w:szCs w:val="28"/>
        </w:rPr>
        <w:t>The patient was not taking any other medication and had no previous history of gastrointestinal disease.</w:t>
      </w:r>
    </w:p>
    <w:p w14:paraId="5264C3DC" w14:textId="77777777" w:rsidR="00F30D52" w:rsidRPr="006B2D6A" w:rsidRDefault="00F30D52" w:rsidP="00722AFA">
      <w:pPr>
        <w:rPr>
          <w:sz w:val="28"/>
          <w:szCs w:val="28"/>
        </w:rPr>
      </w:pPr>
      <w:r w:rsidRPr="006B2D6A">
        <w:rPr>
          <w:sz w:val="28"/>
          <w:szCs w:val="28"/>
        </w:rPr>
        <w:t>June 8: Due to persistent dental pain, the patient accidentally took Ibuprofen 400 mg again.</w:t>
      </w:r>
    </w:p>
    <w:p w14:paraId="47876BF2" w14:textId="56C57A16" w:rsidR="00DF2F04" w:rsidRPr="006B2D6A" w:rsidRDefault="00401817" w:rsidP="00722AFA">
      <w:pPr>
        <w:rPr>
          <w:sz w:val="28"/>
          <w:szCs w:val="28"/>
        </w:rPr>
      </w:pPr>
      <w:r w:rsidRPr="006B2D6A">
        <w:rPr>
          <w:sz w:val="28"/>
          <w:szCs w:val="28"/>
        </w:rPr>
        <w:drawing>
          <wp:anchor distT="0" distB="0" distL="114300" distR="114300" simplePos="0" relativeHeight="251668480" behindDoc="0" locked="0" layoutInCell="1" allowOverlap="1" wp14:anchorId="6B665564" wp14:editId="47DD9598">
            <wp:simplePos x="0" y="0"/>
            <wp:positionH relativeFrom="column">
              <wp:posOffset>0</wp:posOffset>
            </wp:positionH>
            <wp:positionV relativeFrom="paragraph">
              <wp:posOffset>314325</wp:posOffset>
            </wp:positionV>
            <wp:extent cx="5538470" cy="4579620"/>
            <wp:effectExtent l="0" t="0" r="5080" b="0"/>
            <wp:wrapTopAndBottom/>
            <wp:docPr id="421724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24760" name="Picture 421724760"/>
                    <pic:cNvPicPr/>
                  </pic:nvPicPr>
                  <pic:blipFill>
                    <a:blip r:embed="rId8">
                      <a:extLst>
                        <a:ext uri="{28A0092B-C50C-407E-A947-70E740481C1C}">
                          <a14:useLocalDpi xmlns:a14="http://schemas.microsoft.com/office/drawing/2010/main" val="0"/>
                        </a:ext>
                      </a:extLst>
                    </a:blip>
                    <a:stretch>
                      <a:fillRect/>
                    </a:stretch>
                  </pic:blipFill>
                  <pic:spPr>
                    <a:xfrm>
                      <a:off x="0" y="0"/>
                      <a:ext cx="5538470" cy="4579620"/>
                    </a:xfrm>
                    <a:prstGeom prst="rect">
                      <a:avLst/>
                    </a:prstGeom>
                  </pic:spPr>
                </pic:pic>
              </a:graphicData>
            </a:graphic>
            <wp14:sizeRelH relativeFrom="margin">
              <wp14:pctWidth>0</wp14:pctWidth>
            </wp14:sizeRelH>
            <wp14:sizeRelV relativeFrom="margin">
              <wp14:pctHeight>0</wp14:pctHeight>
            </wp14:sizeRelV>
          </wp:anchor>
        </w:drawing>
      </w:r>
      <w:r w:rsidR="00DF2F04" w:rsidRPr="006B2D6A">
        <w:rPr>
          <w:sz w:val="28"/>
          <w:szCs w:val="28"/>
        </w:rPr>
        <w:t>June 9: Stomach pain and black-</w:t>
      </w:r>
      <w:proofErr w:type="spellStart"/>
      <w:r w:rsidR="00DF2F04" w:rsidRPr="006B2D6A">
        <w:rPr>
          <w:sz w:val="28"/>
          <w:szCs w:val="28"/>
        </w:rPr>
        <w:t>colored</w:t>
      </w:r>
      <w:proofErr w:type="spellEnd"/>
      <w:r w:rsidR="00DF2F04" w:rsidRPr="006B2D6A">
        <w:rPr>
          <w:sz w:val="28"/>
          <w:szCs w:val="28"/>
        </w:rPr>
        <w:t xml:space="preserve"> stools reappeared</w:t>
      </w:r>
    </w:p>
    <w:p w14:paraId="1F7AC2EA" w14:textId="439454C6" w:rsidR="008F0190" w:rsidRPr="006B2D6A" w:rsidRDefault="008F0190" w:rsidP="00722AFA">
      <w:pPr>
        <w:rPr>
          <w:sz w:val="28"/>
          <w:szCs w:val="28"/>
        </w:rPr>
      </w:pPr>
      <w:r w:rsidRPr="006B2D6A">
        <w:rPr>
          <w:sz w:val="28"/>
          <w:szCs w:val="28"/>
        </w:rPr>
        <w:t>Causality Assessment – Definite.</w:t>
      </w:r>
    </w:p>
    <w:p w14:paraId="1EA2A7F7" w14:textId="38265F6C" w:rsidR="00E43137" w:rsidRPr="006B2D6A" w:rsidRDefault="00185F07" w:rsidP="00722AFA">
      <w:pPr>
        <w:rPr>
          <w:sz w:val="28"/>
          <w:szCs w:val="28"/>
        </w:rPr>
      </w:pPr>
      <w:r w:rsidRPr="006B2D6A">
        <w:rPr>
          <w:sz w:val="28"/>
          <w:szCs w:val="28"/>
        </w:rPr>
        <w:t xml:space="preserve">B. </w:t>
      </w:r>
      <w:r w:rsidR="00E43137" w:rsidRPr="006B2D6A">
        <w:rPr>
          <w:sz w:val="28"/>
          <w:szCs w:val="28"/>
        </w:rPr>
        <w:t xml:space="preserve"> WHO-UMC Causality Assessment System</w:t>
      </w:r>
    </w:p>
    <w:p w14:paraId="1B48462B" w14:textId="77777777" w:rsidR="00E43137" w:rsidRPr="006B2D6A" w:rsidRDefault="00E43137" w:rsidP="00722AFA">
      <w:pPr>
        <w:rPr>
          <w:sz w:val="28"/>
          <w:szCs w:val="28"/>
        </w:rPr>
      </w:pPr>
      <w:r w:rsidRPr="006B2D6A">
        <w:rPr>
          <w:sz w:val="28"/>
          <w:szCs w:val="28"/>
        </w:rPr>
        <w:t>The WHO-UMC Causality Assessment System was developed by the World Health Organization (WHO) and the Uppsala Monitoring Centre (UMC).</w:t>
      </w:r>
    </w:p>
    <w:p w14:paraId="4A68B252" w14:textId="77777777" w:rsidR="00E43137" w:rsidRPr="006B2D6A" w:rsidRDefault="00E43137" w:rsidP="00722AFA">
      <w:pPr>
        <w:rPr>
          <w:sz w:val="28"/>
          <w:szCs w:val="28"/>
        </w:rPr>
      </w:pPr>
      <w:r w:rsidRPr="006B2D6A">
        <w:rPr>
          <w:sz w:val="28"/>
          <w:szCs w:val="28"/>
        </w:rPr>
        <w:t>Applying the WHO-UMC Causality Assessment System</w:t>
      </w:r>
    </w:p>
    <w:p w14:paraId="36D3CB9B" w14:textId="23BB01ED" w:rsidR="00E43137" w:rsidRPr="006B2D6A" w:rsidRDefault="008F0190" w:rsidP="00722AFA">
      <w:pPr>
        <w:rPr>
          <w:sz w:val="28"/>
          <w:szCs w:val="28"/>
        </w:rPr>
      </w:pPr>
      <w:r w:rsidRPr="006B2D6A">
        <w:rPr>
          <w:sz w:val="28"/>
          <w:szCs w:val="28"/>
        </w:rPr>
        <w:lastRenderedPageBreak/>
        <w:drawing>
          <wp:anchor distT="0" distB="0" distL="114300" distR="114300" simplePos="0" relativeHeight="251666432" behindDoc="0" locked="0" layoutInCell="1" allowOverlap="1" wp14:anchorId="7FEF4D6C" wp14:editId="00813BA8">
            <wp:simplePos x="0" y="0"/>
            <wp:positionH relativeFrom="column">
              <wp:posOffset>-7620</wp:posOffset>
            </wp:positionH>
            <wp:positionV relativeFrom="paragraph">
              <wp:posOffset>767080</wp:posOffset>
            </wp:positionV>
            <wp:extent cx="5865495" cy="6038215"/>
            <wp:effectExtent l="0" t="0" r="1905" b="635"/>
            <wp:wrapTopAndBottom/>
            <wp:docPr id="8802518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51854" name="Picture 880251854"/>
                    <pic:cNvPicPr/>
                  </pic:nvPicPr>
                  <pic:blipFill>
                    <a:blip r:embed="rId7">
                      <a:extLst>
                        <a:ext uri="{28A0092B-C50C-407E-A947-70E740481C1C}">
                          <a14:useLocalDpi xmlns:a14="http://schemas.microsoft.com/office/drawing/2010/main" val="0"/>
                        </a:ext>
                      </a:extLst>
                    </a:blip>
                    <a:stretch>
                      <a:fillRect/>
                    </a:stretch>
                  </pic:blipFill>
                  <pic:spPr>
                    <a:xfrm>
                      <a:off x="0" y="0"/>
                      <a:ext cx="5865495" cy="6038215"/>
                    </a:xfrm>
                    <a:prstGeom prst="rect">
                      <a:avLst/>
                    </a:prstGeom>
                  </pic:spPr>
                </pic:pic>
              </a:graphicData>
            </a:graphic>
            <wp14:sizeRelH relativeFrom="margin">
              <wp14:pctWidth>0</wp14:pctWidth>
            </wp14:sizeRelH>
            <wp14:sizeRelV relativeFrom="margin">
              <wp14:pctHeight>0</wp14:pctHeight>
            </wp14:sizeRelV>
          </wp:anchor>
        </w:drawing>
      </w:r>
      <w:r w:rsidR="008B3661" w:rsidRPr="006B2D6A">
        <w:rPr>
          <w:sz w:val="28"/>
          <w:szCs w:val="28"/>
        </w:rPr>
        <w:t>The symptoms appeared after ibuprofen was started, there was no other medication or previous GI disease to explain them, the symptoms disappeared after stopping ibuprofen, and reappeared after restarting it. Thus, the criteria support Certain causality.</w:t>
      </w:r>
    </w:p>
    <w:p w14:paraId="7636CA9A" w14:textId="2C646D1F" w:rsidR="00E43137" w:rsidRPr="006B2D6A" w:rsidRDefault="00E43137" w:rsidP="00722AFA">
      <w:pPr>
        <w:rPr>
          <w:sz w:val="28"/>
          <w:szCs w:val="28"/>
        </w:rPr>
      </w:pPr>
    </w:p>
    <w:p w14:paraId="06DB5E81" w14:textId="6C427E1B" w:rsidR="006F2818" w:rsidRPr="00C87852" w:rsidRDefault="006F2818" w:rsidP="00C87852">
      <w:pPr>
        <w:pStyle w:val="ListParagraph"/>
        <w:numPr>
          <w:ilvl w:val="0"/>
          <w:numId w:val="25"/>
        </w:numPr>
        <w:rPr>
          <w:sz w:val="28"/>
          <w:szCs w:val="28"/>
        </w:rPr>
      </w:pPr>
      <w:r w:rsidRPr="00C87852">
        <w:rPr>
          <w:sz w:val="28"/>
          <w:szCs w:val="28"/>
        </w:rPr>
        <w:t>What is Implied Causality?</w:t>
      </w:r>
    </w:p>
    <w:p w14:paraId="2196CC55" w14:textId="6DC95D0E" w:rsidR="006F2818" w:rsidRPr="006B2D6A" w:rsidRDefault="006F2818" w:rsidP="00722AFA">
      <w:pPr>
        <w:rPr>
          <w:sz w:val="28"/>
          <w:szCs w:val="28"/>
        </w:rPr>
      </w:pPr>
      <w:r w:rsidRPr="006B2D6A">
        <w:rPr>
          <w:sz w:val="28"/>
          <w:szCs w:val="28"/>
        </w:rPr>
        <w:t xml:space="preserve">When a patient experiences an adverse event and reports it either to their physician or directly to the pharmaceutical company, it is considered a spontaneous/implied case </w:t>
      </w:r>
      <w:proofErr w:type="spellStart"/>
      <w:r w:rsidRPr="006B2D6A">
        <w:rPr>
          <w:sz w:val="28"/>
          <w:szCs w:val="28"/>
        </w:rPr>
        <w:t>report.Even</w:t>
      </w:r>
      <w:proofErr w:type="spellEnd"/>
      <w:r w:rsidRPr="006B2D6A">
        <w:rPr>
          <w:sz w:val="28"/>
          <w:szCs w:val="28"/>
        </w:rPr>
        <w:t xml:space="preserve"> if a company representative personally believes that the event is not related to the drug, they should not immediately exclude a possible causal relationship. Incorrectly ruling out causality may result in a genuine adverse event not being reported, which can have regulatory and patient-safety </w:t>
      </w:r>
      <w:proofErr w:type="spellStart"/>
      <w:r w:rsidRPr="006B2D6A">
        <w:rPr>
          <w:sz w:val="28"/>
          <w:szCs w:val="28"/>
        </w:rPr>
        <w:t>consequences.This</w:t>
      </w:r>
      <w:proofErr w:type="spellEnd"/>
      <w:r w:rsidRPr="006B2D6A">
        <w:rPr>
          <w:sz w:val="28"/>
          <w:szCs w:val="28"/>
        </w:rPr>
        <w:t xml:space="preserve"> is a </w:t>
      </w:r>
      <w:r w:rsidRPr="006B2D6A">
        <w:rPr>
          <w:sz w:val="28"/>
          <w:szCs w:val="28"/>
        </w:rPr>
        <w:lastRenderedPageBreak/>
        <w:t>safeguard principle: when there is uncertainty, the possibility of relatedness should be considered rather than dismissing it prematurely.</w:t>
      </w:r>
    </w:p>
    <w:p w14:paraId="343BE508" w14:textId="79120F95" w:rsidR="00D21E51" w:rsidRPr="008503DF" w:rsidRDefault="00D21E51" w:rsidP="008503DF">
      <w:pPr>
        <w:pStyle w:val="ListParagraph"/>
        <w:numPr>
          <w:ilvl w:val="0"/>
          <w:numId w:val="25"/>
        </w:numPr>
        <w:rPr>
          <w:sz w:val="28"/>
          <w:szCs w:val="28"/>
        </w:rPr>
      </w:pPr>
      <w:r w:rsidRPr="008503DF">
        <w:rPr>
          <w:sz w:val="28"/>
          <w:szCs w:val="28"/>
        </w:rPr>
        <w:t>Causality Assessment for Vaccines</w:t>
      </w:r>
    </w:p>
    <w:p w14:paraId="78CE4430" w14:textId="77777777" w:rsidR="00D21E51" w:rsidRPr="006B2D6A" w:rsidRDefault="00D21E51" w:rsidP="00722AFA">
      <w:pPr>
        <w:rPr>
          <w:sz w:val="28"/>
          <w:szCs w:val="28"/>
        </w:rPr>
      </w:pPr>
      <w:r w:rsidRPr="006B2D6A">
        <w:rPr>
          <w:sz w:val="28"/>
          <w:szCs w:val="28"/>
        </w:rPr>
        <w:t>Causality assessment for vaccines differs from drug causality assessment and is known as AEFI (Adverse Event Following Immunization).</w:t>
      </w:r>
    </w:p>
    <w:p w14:paraId="1C1ACEF0" w14:textId="77777777" w:rsidR="00D21E51" w:rsidRPr="005A4FBD" w:rsidRDefault="00D21E51" w:rsidP="005A4FBD">
      <w:pPr>
        <w:pStyle w:val="ListParagraph"/>
        <w:numPr>
          <w:ilvl w:val="0"/>
          <w:numId w:val="33"/>
        </w:numPr>
        <w:rPr>
          <w:sz w:val="28"/>
          <w:szCs w:val="28"/>
        </w:rPr>
      </w:pPr>
      <w:r w:rsidRPr="005A4FBD">
        <w:rPr>
          <w:sz w:val="28"/>
          <w:szCs w:val="28"/>
        </w:rPr>
        <w:t>Categories of AEFI Causes</w:t>
      </w:r>
    </w:p>
    <w:p w14:paraId="4B819D6F" w14:textId="77777777" w:rsidR="00D21E51" w:rsidRPr="00433ECF" w:rsidRDefault="00D21E51" w:rsidP="00433ECF">
      <w:pPr>
        <w:pStyle w:val="ListParagraph"/>
        <w:numPr>
          <w:ilvl w:val="0"/>
          <w:numId w:val="34"/>
        </w:numPr>
        <w:rPr>
          <w:sz w:val="28"/>
          <w:szCs w:val="28"/>
        </w:rPr>
      </w:pPr>
      <w:r w:rsidRPr="00433ECF">
        <w:rPr>
          <w:sz w:val="28"/>
          <w:szCs w:val="28"/>
        </w:rPr>
        <w:t>Vaccine product-related / quality-related:</w:t>
      </w:r>
    </w:p>
    <w:p w14:paraId="468199C5" w14:textId="77777777" w:rsidR="00D21E51" w:rsidRPr="006B2D6A" w:rsidRDefault="00D21E51" w:rsidP="00722AFA">
      <w:pPr>
        <w:rPr>
          <w:sz w:val="28"/>
          <w:szCs w:val="28"/>
        </w:rPr>
      </w:pPr>
      <w:r w:rsidRPr="006B2D6A">
        <w:rPr>
          <w:sz w:val="28"/>
          <w:szCs w:val="28"/>
        </w:rPr>
        <w:t>Example: A vaccine becoming ineffective or contaminated due to improper storage at the required temperature.</w:t>
      </w:r>
    </w:p>
    <w:p w14:paraId="74F4EA5D" w14:textId="77777777" w:rsidR="00D21E51" w:rsidRPr="00433ECF" w:rsidRDefault="00D21E51" w:rsidP="00433ECF">
      <w:pPr>
        <w:pStyle w:val="ListParagraph"/>
        <w:numPr>
          <w:ilvl w:val="0"/>
          <w:numId w:val="34"/>
        </w:numPr>
        <w:rPr>
          <w:sz w:val="28"/>
          <w:szCs w:val="28"/>
        </w:rPr>
      </w:pPr>
      <w:r w:rsidRPr="00433ECF">
        <w:rPr>
          <w:sz w:val="28"/>
          <w:szCs w:val="28"/>
        </w:rPr>
        <w:t>Immunization process/vaccination-related:</w:t>
      </w:r>
    </w:p>
    <w:p w14:paraId="085319E5" w14:textId="77777777" w:rsidR="00CB2EA1" w:rsidRDefault="00D21E51" w:rsidP="00722AFA">
      <w:pPr>
        <w:rPr>
          <w:sz w:val="28"/>
          <w:szCs w:val="28"/>
        </w:rPr>
      </w:pPr>
      <w:r w:rsidRPr="006B2D6A">
        <w:rPr>
          <w:sz w:val="28"/>
          <w:szCs w:val="28"/>
        </w:rPr>
        <w:t>This considers factors such as pharmacogenomics and type 2 reactions associated with the vaccination process.</w:t>
      </w:r>
    </w:p>
    <w:p w14:paraId="15AD468A" w14:textId="03A266EC" w:rsidR="00D21E51" w:rsidRPr="00CB2EA1" w:rsidRDefault="00D21E51" w:rsidP="00CB2EA1">
      <w:pPr>
        <w:pStyle w:val="ListParagraph"/>
        <w:numPr>
          <w:ilvl w:val="0"/>
          <w:numId w:val="34"/>
        </w:numPr>
        <w:rPr>
          <w:sz w:val="28"/>
          <w:szCs w:val="28"/>
        </w:rPr>
      </w:pPr>
      <w:proofErr w:type="spellStart"/>
      <w:r w:rsidRPr="00CB2EA1">
        <w:rPr>
          <w:sz w:val="28"/>
          <w:szCs w:val="28"/>
        </w:rPr>
        <w:t>ADR:These</w:t>
      </w:r>
      <w:proofErr w:type="spellEnd"/>
      <w:r w:rsidRPr="00CB2EA1">
        <w:rPr>
          <w:sz w:val="28"/>
          <w:szCs w:val="28"/>
        </w:rPr>
        <w:t xml:space="preserve"> may be coincidental or genuine adverse events related to the vaccine itself.</w:t>
      </w:r>
    </w:p>
    <w:p w14:paraId="3377D408" w14:textId="77777777" w:rsidR="00D21E51" w:rsidRDefault="00D21E51" w:rsidP="00722AFA">
      <w:pPr>
        <w:rPr>
          <w:sz w:val="28"/>
          <w:szCs w:val="28"/>
        </w:rPr>
      </w:pPr>
      <w:r w:rsidRPr="006B2D6A">
        <w:rPr>
          <w:sz w:val="28"/>
          <w:szCs w:val="28"/>
        </w:rPr>
        <w:t>Example: Fever or mild injection-site swelling following vaccination.</w:t>
      </w:r>
    </w:p>
    <w:p w14:paraId="7A273D74" w14:textId="77777777" w:rsidR="002C3B2A" w:rsidRPr="006B2D6A" w:rsidRDefault="002C3B2A" w:rsidP="00722AFA">
      <w:pPr>
        <w:rPr>
          <w:sz w:val="28"/>
          <w:szCs w:val="28"/>
        </w:rPr>
      </w:pPr>
    </w:p>
    <w:p w14:paraId="170DFDB7" w14:textId="77777777" w:rsidR="00D21E51" w:rsidRPr="002C3B2A" w:rsidRDefault="00D21E51" w:rsidP="002C3B2A">
      <w:pPr>
        <w:pStyle w:val="ListParagraph"/>
        <w:numPr>
          <w:ilvl w:val="0"/>
          <w:numId w:val="33"/>
        </w:numPr>
        <w:rPr>
          <w:sz w:val="28"/>
          <w:szCs w:val="28"/>
        </w:rPr>
      </w:pPr>
      <w:r w:rsidRPr="002C3B2A">
        <w:rPr>
          <w:sz w:val="28"/>
          <w:szCs w:val="28"/>
        </w:rPr>
        <w:t>Five WHO Principles Underpinning AEFI Causality Assessment</w:t>
      </w:r>
    </w:p>
    <w:p w14:paraId="0ECB21E9" w14:textId="77777777" w:rsidR="00D21E51" w:rsidRPr="002C3B2A" w:rsidRDefault="00D21E51" w:rsidP="002C3B2A">
      <w:pPr>
        <w:pStyle w:val="ListParagraph"/>
        <w:numPr>
          <w:ilvl w:val="0"/>
          <w:numId w:val="35"/>
        </w:numPr>
        <w:rPr>
          <w:sz w:val="28"/>
          <w:szCs w:val="28"/>
        </w:rPr>
      </w:pPr>
      <w:r w:rsidRPr="002C3B2A">
        <w:rPr>
          <w:sz w:val="28"/>
          <w:szCs w:val="28"/>
        </w:rPr>
        <w:t>Strength: The strength of the association between the AEFI and administration of the vaccine dose.</w:t>
      </w:r>
    </w:p>
    <w:p w14:paraId="21E0A59D" w14:textId="77777777" w:rsidR="00D21E51" w:rsidRPr="002C3B2A" w:rsidRDefault="00D21E51" w:rsidP="002C3B2A">
      <w:pPr>
        <w:pStyle w:val="ListParagraph"/>
        <w:numPr>
          <w:ilvl w:val="0"/>
          <w:numId w:val="35"/>
        </w:numPr>
        <w:rPr>
          <w:sz w:val="28"/>
          <w:szCs w:val="28"/>
        </w:rPr>
      </w:pPr>
      <w:r w:rsidRPr="002C3B2A">
        <w:rPr>
          <w:sz w:val="28"/>
          <w:szCs w:val="28"/>
        </w:rPr>
        <w:t>Consistency: Whether the reaction has been repeatedly reported or observed.</w:t>
      </w:r>
    </w:p>
    <w:p w14:paraId="423E33D4" w14:textId="77777777" w:rsidR="00D21E51" w:rsidRPr="002C3B2A" w:rsidRDefault="00D21E51" w:rsidP="002C3B2A">
      <w:pPr>
        <w:pStyle w:val="ListParagraph"/>
        <w:numPr>
          <w:ilvl w:val="0"/>
          <w:numId w:val="35"/>
        </w:numPr>
        <w:rPr>
          <w:sz w:val="28"/>
          <w:szCs w:val="28"/>
        </w:rPr>
      </w:pPr>
      <w:r w:rsidRPr="002C3B2A">
        <w:rPr>
          <w:sz w:val="28"/>
          <w:szCs w:val="28"/>
        </w:rPr>
        <w:t>Specificity: Whether the ADR is specifically associated with the drug or vaccine.</w:t>
      </w:r>
    </w:p>
    <w:p w14:paraId="675723E8" w14:textId="77777777" w:rsidR="00D21E51" w:rsidRPr="002C3B2A" w:rsidRDefault="00D21E51" w:rsidP="002C3B2A">
      <w:pPr>
        <w:pStyle w:val="ListParagraph"/>
        <w:numPr>
          <w:ilvl w:val="0"/>
          <w:numId w:val="35"/>
        </w:numPr>
        <w:rPr>
          <w:sz w:val="28"/>
          <w:szCs w:val="28"/>
        </w:rPr>
      </w:pPr>
      <w:r w:rsidRPr="002C3B2A">
        <w:rPr>
          <w:sz w:val="28"/>
          <w:szCs w:val="28"/>
        </w:rPr>
        <w:t>Temporal relationship: The time between vaccination and the onset of the event, such as immediately, the next day, or several weeks later.</w:t>
      </w:r>
    </w:p>
    <w:p w14:paraId="15095799" w14:textId="77777777" w:rsidR="00D21E51" w:rsidRDefault="00D21E51" w:rsidP="002C3B2A">
      <w:pPr>
        <w:pStyle w:val="ListParagraph"/>
        <w:numPr>
          <w:ilvl w:val="0"/>
          <w:numId w:val="35"/>
        </w:numPr>
        <w:rPr>
          <w:sz w:val="28"/>
          <w:szCs w:val="28"/>
        </w:rPr>
      </w:pPr>
      <w:r w:rsidRPr="002C3B2A">
        <w:rPr>
          <w:sz w:val="28"/>
          <w:szCs w:val="28"/>
        </w:rPr>
        <w:t>Biological plausibility: Establishing whether there is a possible biological link between the drug or vaccine and the event.</w:t>
      </w:r>
    </w:p>
    <w:p w14:paraId="7AEB0D8C" w14:textId="77777777" w:rsidR="000D7D0C" w:rsidRPr="002C3B2A" w:rsidRDefault="000D7D0C" w:rsidP="000D7D0C">
      <w:pPr>
        <w:pStyle w:val="ListParagraph"/>
        <w:rPr>
          <w:sz w:val="28"/>
          <w:szCs w:val="28"/>
        </w:rPr>
      </w:pPr>
    </w:p>
    <w:p w14:paraId="227233AB" w14:textId="77777777" w:rsidR="00D21E51" w:rsidRPr="002C3B2A" w:rsidRDefault="00D21E51" w:rsidP="002C3B2A">
      <w:pPr>
        <w:pStyle w:val="ListParagraph"/>
        <w:numPr>
          <w:ilvl w:val="0"/>
          <w:numId w:val="33"/>
        </w:numPr>
        <w:rPr>
          <w:sz w:val="28"/>
          <w:szCs w:val="28"/>
        </w:rPr>
      </w:pPr>
      <w:r w:rsidRPr="002C3B2A">
        <w:rPr>
          <w:sz w:val="28"/>
          <w:szCs w:val="28"/>
        </w:rPr>
        <w:t>WHO’s Four-Step Process for AEFI Causality Assessment</w:t>
      </w:r>
    </w:p>
    <w:p w14:paraId="6EF54803" w14:textId="643B20A3" w:rsidR="006C3E96" w:rsidRPr="000D7D0C" w:rsidRDefault="00D21E51" w:rsidP="000D7D0C">
      <w:pPr>
        <w:pStyle w:val="ListParagraph"/>
        <w:numPr>
          <w:ilvl w:val="1"/>
          <w:numId w:val="25"/>
        </w:numPr>
        <w:rPr>
          <w:sz w:val="28"/>
          <w:szCs w:val="28"/>
        </w:rPr>
      </w:pPr>
      <w:r w:rsidRPr="000D7D0C">
        <w:rPr>
          <w:sz w:val="28"/>
          <w:szCs w:val="28"/>
        </w:rPr>
        <w:t>Eligibility check: Determine whether the event qualifies as an AEFI and complete a checklist to collect all relevant information. This is carried out using the required steps</w:t>
      </w:r>
    </w:p>
    <w:p w14:paraId="356FD3B0" w14:textId="51BE08C8" w:rsidR="006F388A" w:rsidRPr="006B2D6A" w:rsidRDefault="006F388A" w:rsidP="00722AFA">
      <w:pPr>
        <w:rPr>
          <w:sz w:val="28"/>
          <w:szCs w:val="28"/>
        </w:rPr>
      </w:pPr>
    </w:p>
    <w:p w14:paraId="121D10BF" w14:textId="77777777" w:rsidR="00A257EF" w:rsidRDefault="006348A7" w:rsidP="00A257EF">
      <w:pPr>
        <w:pStyle w:val="ListParagraph"/>
        <w:ind w:left="1440"/>
        <w:rPr>
          <w:sz w:val="28"/>
          <w:szCs w:val="28"/>
        </w:rPr>
      </w:pPr>
      <w:r w:rsidRPr="006B2D6A">
        <w:lastRenderedPageBreak/>
        <w:drawing>
          <wp:anchor distT="0" distB="0" distL="114300" distR="114300" simplePos="0" relativeHeight="251669504" behindDoc="0" locked="0" layoutInCell="1" allowOverlap="1" wp14:anchorId="03AB7C0F" wp14:editId="519D9F99">
            <wp:simplePos x="0" y="0"/>
            <wp:positionH relativeFrom="column">
              <wp:posOffset>120650</wp:posOffset>
            </wp:positionH>
            <wp:positionV relativeFrom="paragraph">
              <wp:posOffset>153670</wp:posOffset>
            </wp:positionV>
            <wp:extent cx="6419215" cy="8806815"/>
            <wp:effectExtent l="0" t="0" r="635" b="0"/>
            <wp:wrapTopAndBottom/>
            <wp:docPr id="1207779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79264" name="Picture 1207779264"/>
                    <pic:cNvPicPr/>
                  </pic:nvPicPr>
                  <pic:blipFill>
                    <a:blip r:embed="rId9">
                      <a:extLst>
                        <a:ext uri="{28A0092B-C50C-407E-A947-70E740481C1C}">
                          <a14:useLocalDpi xmlns:a14="http://schemas.microsoft.com/office/drawing/2010/main" val="0"/>
                        </a:ext>
                      </a:extLst>
                    </a:blip>
                    <a:stretch>
                      <a:fillRect/>
                    </a:stretch>
                  </pic:blipFill>
                  <pic:spPr>
                    <a:xfrm>
                      <a:off x="0" y="0"/>
                      <a:ext cx="6419215" cy="8806815"/>
                    </a:xfrm>
                    <a:prstGeom prst="rect">
                      <a:avLst/>
                    </a:prstGeom>
                  </pic:spPr>
                </pic:pic>
              </a:graphicData>
            </a:graphic>
            <wp14:sizeRelH relativeFrom="margin">
              <wp14:pctWidth>0</wp14:pctWidth>
            </wp14:sizeRelH>
            <wp14:sizeRelV relativeFrom="margin">
              <wp14:pctHeight>0</wp14:pctHeight>
            </wp14:sizeRelV>
          </wp:anchor>
        </w:drawing>
      </w:r>
    </w:p>
    <w:p w14:paraId="133F73E6" w14:textId="68CDA887" w:rsidR="00D21E51" w:rsidRPr="005139CF" w:rsidRDefault="00D21E51" w:rsidP="00A257EF">
      <w:pPr>
        <w:pStyle w:val="ListParagraph"/>
        <w:numPr>
          <w:ilvl w:val="1"/>
          <w:numId w:val="25"/>
        </w:numPr>
        <w:jc w:val="both"/>
        <w:rPr>
          <w:sz w:val="28"/>
          <w:szCs w:val="28"/>
        </w:rPr>
      </w:pPr>
      <w:r w:rsidRPr="005139CF">
        <w:rPr>
          <w:sz w:val="28"/>
          <w:szCs w:val="28"/>
        </w:rPr>
        <w:t>Algorithm/flowchart application: Apply the algorithm or flowchart to determine whether there is a known causal relationship with the vaccine.</w:t>
      </w:r>
    </w:p>
    <w:p w14:paraId="59294C63" w14:textId="40A0B684" w:rsidR="006C3E96" w:rsidRPr="007D04B6" w:rsidRDefault="00D21E51" w:rsidP="007D04B6">
      <w:pPr>
        <w:pStyle w:val="ListParagraph"/>
        <w:numPr>
          <w:ilvl w:val="1"/>
          <w:numId w:val="25"/>
        </w:numPr>
        <w:jc w:val="both"/>
        <w:rPr>
          <w:sz w:val="28"/>
          <w:szCs w:val="28"/>
        </w:rPr>
      </w:pPr>
      <w:r w:rsidRPr="007D04B6">
        <w:rPr>
          <w:sz w:val="28"/>
          <w:szCs w:val="28"/>
        </w:rPr>
        <w:lastRenderedPageBreak/>
        <w:t>Gathering evidence: Collect evidence to determine whether the ADR was caused by the same drug or vaccine.</w:t>
      </w:r>
    </w:p>
    <w:p w14:paraId="40C3269E" w14:textId="7086BEE4" w:rsidR="00D21E51" w:rsidRPr="007D04B6" w:rsidRDefault="00A518E8" w:rsidP="007D04B6">
      <w:pPr>
        <w:pStyle w:val="ListParagraph"/>
        <w:numPr>
          <w:ilvl w:val="1"/>
          <w:numId w:val="25"/>
        </w:numPr>
        <w:rPr>
          <w:sz w:val="28"/>
          <w:szCs w:val="28"/>
        </w:rPr>
      </w:pPr>
      <w:r w:rsidRPr="006B2D6A">
        <w:drawing>
          <wp:anchor distT="0" distB="0" distL="114300" distR="114300" simplePos="0" relativeHeight="251670528" behindDoc="0" locked="0" layoutInCell="1" allowOverlap="1" wp14:anchorId="37A35283" wp14:editId="3F62D035">
            <wp:simplePos x="0" y="0"/>
            <wp:positionH relativeFrom="column">
              <wp:posOffset>699770</wp:posOffset>
            </wp:positionH>
            <wp:positionV relativeFrom="paragraph">
              <wp:posOffset>29845</wp:posOffset>
            </wp:positionV>
            <wp:extent cx="5841365" cy="2769235"/>
            <wp:effectExtent l="0" t="0" r="6985" b="0"/>
            <wp:wrapTopAndBottom/>
            <wp:docPr id="1116520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20072" name="Picture 11165200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41365" cy="276923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D21E51" w:rsidRPr="007D04B6">
        <w:rPr>
          <w:sz w:val="28"/>
          <w:szCs w:val="28"/>
        </w:rPr>
        <w:t>lassification</w:t>
      </w:r>
      <w:proofErr w:type="spellEnd"/>
      <w:r w:rsidR="00D21E51" w:rsidRPr="007D04B6">
        <w:rPr>
          <w:sz w:val="28"/>
          <w:szCs w:val="28"/>
        </w:rPr>
        <w:t xml:space="preserve"> into one of the following categories:</w:t>
      </w:r>
    </w:p>
    <w:p w14:paraId="287E046A" w14:textId="2CA59A5F" w:rsidR="00D21E51" w:rsidRPr="007D04B6" w:rsidRDefault="00D21E51" w:rsidP="00A518E8">
      <w:pPr>
        <w:pStyle w:val="ListParagraph"/>
        <w:numPr>
          <w:ilvl w:val="0"/>
          <w:numId w:val="38"/>
        </w:numPr>
        <w:rPr>
          <w:sz w:val="28"/>
          <w:szCs w:val="28"/>
        </w:rPr>
      </w:pPr>
      <w:r w:rsidRPr="007D04B6">
        <w:rPr>
          <w:sz w:val="28"/>
          <w:szCs w:val="28"/>
        </w:rPr>
        <w:t>Consistent causal association to immunization:</w:t>
      </w:r>
      <w:r w:rsidR="00680D5E" w:rsidRPr="007D04B6">
        <w:rPr>
          <w:sz w:val="28"/>
          <w:szCs w:val="28"/>
        </w:rPr>
        <w:t xml:space="preserve"> </w:t>
      </w:r>
      <w:r w:rsidRPr="007D04B6">
        <w:rPr>
          <w:sz w:val="28"/>
          <w:szCs w:val="28"/>
        </w:rPr>
        <w:t>A causal relationship exists.</w:t>
      </w:r>
    </w:p>
    <w:p w14:paraId="0421A881" w14:textId="5983E2C5" w:rsidR="00D21E51" w:rsidRPr="007D04B6" w:rsidRDefault="00D21E51" w:rsidP="00A518E8">
      <w:pPr>
        <w:pStyle w:val="ListParagraph"/>
        <w:numPr>
          <w:ilvl w:val="0"/>
          <w:numId w:val="38"/>
        </w:numPr>
        <w:rPr>
          <w:sz w:val="28"/>
          <w:szCs w:val="28"/>
        </w:rPr>
      </w:pPr>
      <w:r w:rsidRPr="007D04B6">
        <w:rPr>
          <w:sz w:val="28"/>
          <w:szCs w:val="28"/>
        </w:rPr>
        <w:t>Indeterminate:</w:t>
      </w:r>
      <w:r w:rsidR="00680D5E" w:rsidRPr="007D04B6">
        <w:rPr>
          <w:sz w:val="28"/>
          <w:szCs w:val="28"/>
        </w:rPr>
        <w:t xml:space="preserve"> </w:t>
      </w:r>
      <w:r w:rsidRPr="007D04B6">
        <w:rPr>
          <w:sz w:val="28"/>
          <w:szCs w:val="28"/>
        </w:rPr>
        <w:t>The relationship is unclear or doubtful, or there is insufficient information to make a decision.</w:t>
      </w:r>
    </w:p>
    <w:p w14:paraId="27F1394E" w14:textId="08709EE7" w:rsidR="00D21E51" w:rsidRPr="007D04B6" w:rsidRDefault="00D21E51" w:rsidP="00A518E8">
      <w:pPr>
        <w:pStyle w:val="ListParagraph"/>
        <w:numPr>
          <w:ilvl w:val="0"/>
          <w:numId w:val="38"/>
        </w:numPr>
        <w:rPr>
          <w:sz w:val="28"/>
          <w:szCs w:val="28"/>
        </w:rPr>
      </w:pPr>
      <w:r w:rsidRPr="007D04B6">
        <w:rPr>
          <w:sz w:val="28"/>
          <w:szCs w:val="28"/>
        </w:rPr>
        <w:t>Inconsistent causal association:</w:t>
      </w:r>
      <w:r w:rsidR="00680D5E" w:rsidRPr="007D04B6">
        <w:rPr>
          <w:sz w:val="28"/>
          <w:szCs w:val="28"/>
        </w:rPr>
        <w:t xml:space="preserve"> </w:t>
      </w:r>
      <w:r w:rsidRPr="007D04B6">
        <w:rPr>
          <w:sz w:val="28"/>
          <w:szCs w:val="28"/>
        </w:rPr>
        <w:t>The event is unlikely to be related to the immunization.</w:t>
      </w:r>
    </w:p>
    <w:p w14:paraId="0C88117D" w14:textId="33B742E3" w:rsidR="00D21E51" w:rsidRPr="007D04B6" w:rsidRDefault="00B261D7" w:rsidP="00A518E8">
      <w:pPr>
        <w:pStyle w:val="ListParagraph"/>
        <w:numPr>
          <w:ilvl w:val="0"/>
          <w:numId w:val="38"/>
        </w:numPr>
        <w:rPr>
          <w:sz w:val="28"/>
          <w:szCs w:val="28"/>
        </w:rPr>
      </w:pPr>
      <w:r w:rsidRPr="006B2D6A">
        <w:rPr>
          <w:sz w:val="28"/>
          <w:szCs w:val="28"/>
        </w:rPr>
        <w:drawing>
          <wp:anchor distT="0" distB="0" distL="114300" distR="114300" simplePos="0" relativeHeight="251671552" behindDoc="0" locked="0" layoutInCell="1" allowOverlap="1" wp14:anchorId="4E566FD2" wp14:editId="12B330E7">
            <wp:simplePos x="0" y="0"/>
            <wp:positionH relativeFrom="column">
              <wp:posOffset>807085</wp:posOffset>
            </wp:positionH>
            <wp:positionV relativeFrom="paragraph">
              <wp:posOffset>574675</wp:posOffset>
            </wp:positionV>
            <wp:extent cx="5734050" cy="3183890"/>
            <wp:effectExtent l="0" t="0" r="0" b="0"/>
            <wp:wrapTopAndBottom/>
            <wp:docPr id="215063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63721" name="Picture 215063721"/>
                    <pic:cNvPicPr/>
                  </pic:nvPicPr>
                  <pic:blipFill>
                    <a:blip r:embed="rId11">
                      <a:extLst>
                        <a:ext uri="{28A0092B-C50C-407E-A947-70E740481C1C}">
                          <a14:useLocalDpi xmlns:a14="http://schemas.microsoft.com/office/drawing/2010/main" val="0"/>
                        </a:ext>
                      </a:extLst>
                    </a:blip>
                    <a:stretch>
                      <a:fillRect/>
                    </a:stretch>
                  </pic:blipFill>
                  <pic:spPr>
                    <a:xfrm>
                      <a:off x="0" y="0"/>
                      <a:ext cx="5734050" cy="3183890"/>
                    </a:xfrm>
                    <a:prstGeom prst="rect">
                      <a:avLst/>
                    </a:prstGeom>
                  </pic:spPr>
                </pic:pic>
              </a:graphicData>
            </a:graphic>
            <wp14:sizeRelV relativeFrom="margin">
              <wp14:pctHeight>0</wp14:pctHeight>
            </wp14:sizeRelV>
          </wp:anchor>
        </w:drawing>
      </w:r>
      <w:r w:rsidR="00D21E51" w:rsidRPr="007D04B6">
        <w:rPr>
          <w:sz w:val="28"/>
          <w:szCs w:val="28"/>
        </w:rPr>
        <w:t>Unclassifiable:</w:t>
      </w:r>
      <w:r w:rsidR="00680D5E" w:rsidRPr="007D04B6">
        <w:rPr>
          <w:sz w:val="28"/>
          <w:szCs w:val="28"/>
        </w:rPr>
        <w:t xml:space="preserve"> </w:t>
      </w:r>
      <w:r w:rsidR="00D21E51" w:rsidRPr="007D04B6">
        <w:rPr>
          <w:sz w:val="28"/>
          <w:szCs w:val="28"/>
        </w:rPr>
        <w:t>There is insufficient information to categorize the event.</w:t>
      </w:r>
    </w:p>
    <w:p w14:paraId="1CC44728" w14:textId="182DE502" w:rsidR="004C2225" w:rsidRPr="006B2D6A" w:rsidRDefault="004C2225" w:rsidP="00722AFA">
      <w:pPr>
        <w:rPr>
          <w:sz w:val="28"/>
          <w:szCs w:val="28"/>
        </w:rPr>
      </w:pPr>
    </w:p>
    <w:p w14:paraId="22139D95" w14:textId="77777777" w:rsidR="004C2225" w:rsidRPr="006B2D6A" w:rsidRDefault="004C2225" w:rsidP="00722AFA">
      <w:pPr>
        <w:rPr>
          <w:sz w:val="28"/>
          <w:szCs w:val="28"/>
        </w:rPr>
      </w:pPr>
    </w:p>
    <w:p w14:paraId="090E9DCB" w14:textId="413F0D57" w:rsidR="004C2225" w:rsidRPr="006B2D6A" w:rsidRDefault="004C2225" w:rsidP="00722AFA">
      <w:pPr>
        <w:rPr>
          <w:sz w:val="28"/>
          <w:szCs w:val="28"/>
        </w:rPr>
      </w:pPr>
    </w:p>
    <w:p w14:paraId="3F2B4394" w14:textId="01C82EC8" w:rsidR="00DF2F04" w:rsidRPr="006B2D6A" w:rsidRDefault="00DF2F04" w:rsidP="00722AFA">
      <w:pPr>
        <w:rPr>
          <w:sz w:val="28"/>
          <w:szCs w:val="28"/>
        </w:rPr>
      </w:pPr>
    </w:p>
    <w:sectPr w:rsidR="00DF2F04" w:rsidRPr="006B2D6A" w:rsidSect="00BF009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1A4E"/>
    <w:multiLevelType w:val="hybridMultilevel"/>
    <w:tmpl w:val="BF3CFAF8"/>
    <w:lvl w:ilvl="0" w:tplc="FFFFFFFF">
      <w:start w:val="1"/>
      <w:numFmt w:val="decimal"/>
      <w:lvlText w:val="%1."/>
      <w:lvlJc w:val="left"/>
      <w:pPr>
        <w:ind w:left="720" w:hanging="360"/>
      </w:pPr>
      <w:rPr>
        <w:rFonts w:hint="default"/>
      </w:rPr>
    </w:lvl>
    <w:lvl w:ilvl="1" w:tplc="B9CC7A1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C44671"/>
    <w:multiLevelType w:val="hybridMultilevel"/>
    <w:tmpl w:val="60503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223D3"/>
    <w:multiLevelType w:val="hybridMultilevel"/>
    <w:tmpl w:val="FF04F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F1146D"/>
    <w:multiLevelType w:val="hybridMultilevel"/>
    <w:tmpl w:val="7902B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40412C"/>
    <w:multiLevelType w:val="hybridMultilevel"/>
    <w:tmpl w:val="062E5C7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3A403B"/>
    <w:multiLevelType w:val="hybridMultilevel"/>
    <w:tmpl w:val="D7A6AD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A2217CD"/>
    <w:multiLevelType w:val="hybridMultilevel"/>
    <w:tmpl w:val="B106E4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D72D44"/>
    <w:multiLevelType w:val="hybridMultilevel"/>
    <w:tmpl w:val="803627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DA71701"/>
    <w:multiLevelType w:val="hybridMultilevel"/>
    <w:tmpl w:val="A78AEE2A"/>
    <w:lvl w:ilvl="0" w:tplc="FFFFFFFF">
      <w:start w:val="1"/>
      <w:numFmt w:val="decimal"/>
      <w:lvlText w:val="%1."/>
      <w:lvlJc w:val="left"/>
      <w:pPr>
        <w:ind w:left="720" w:hanging="360"/>
      </w:pPr>
      <w:rPr>
        <w:rFonts w:hint="default"/>
      </w:rPr>
    </w:lvl>
    <w:lvl w:ilvl="1" w:tplc="1FA8F050">
      <w:start w:val="1"/>
      <w:numFmt w:val="bullet"/>
      <w:lvlText w:val="-"/>
      <w:lvlJc w:val="left"/>
      <w:pPr>
        <w:ind w:left="1440" w:hanging="360"/>
      </w:pPr>
      <w:rPr>
        <w:rFonts w:ascii="Aptos" w:eastAsiaTheme="minorEastAsia" w:hAnsi="Aptos" w:cstheme="minorBidi" w:hint="default"/>
      </w:rPr>
    </w:lvl>
    <w:lvl w:ilvl="2" w:tplc="5ED486F2">
      <w:start w:val="1"/>
      <w:numFmt w:val="upperLetter"/>
      <w:lvlText w:val="%3."/>
      <w:lvlJc w:val="left"/>
      <w:pPr>
        <w:ind w:left="2340" w:hanging="360"/>
      </w:pPr>
      <w:rPr>
        <w:rFonts w:hint="default"/>
      </w:rPr>
    </w:lvl>
    <w:lvl w:ilvl="3" w:tplc="5950AB74">
      <w:start w:val="1"/>
      <w:numFmt w:val="bullet"/>
      <w:lvlText w:val="•"/>
      <w:lvlJc w:val="left"/>
      <w:pPr>
        <w:ind w:left="2880" w:hanging="360"/>
      </w:pPr>
      <w:rPr>
        <w:rFonts w:ascii="Aptos" w:eastAsiaTheme="minorEastAsia" w:hAnsi="Aptos" w:cstheme="minorBidi" w:hint="default"/>
      </w:rPr>
    </w:lvl>
    <w:lvl w:ilvl="4" w:tplc="5F8C1004">
      <w:start w:val="4"/>
      <w:numFmt w:val="bullet"/>
      <w:lvlText w:val=""/>
      <w:lvlJc w:val="left"/>
      <w:pPr>
        <w:ind w:left="3960" w:hanging="720"/>
      </w:pPr>
      <w:rPr>
        <w:rFonts w:ascii="Symbol" w:eastAsiaTheme="minorEastAsia" w:hAnsi="Symbol" w:cstheme="minorBid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EC5E5D"/>
    <w:multiLevelType w:val="hybridMultilevel"/>
    <w:tmpl w:val="BD527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3730E6"/>
    <w:multiLevelType w:val="hybridMultilevel"/>
    <w:tmpl w:val="68C85480"/>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B219FB"/>
    <w:multiLevelType w:val="hybridMultilevel"/>
    <w:tmpl w:val="68DE6F04"/>
    <w:lvl w:ilvl="0" w:tplc="FFFFFFFF">
      <w:start w:val="1"/>
      <w:numFmt w:val="decimal"/>
      <w:lvlText w:val="%1."/>
      <w:lvlJc w:val="left"/>
      <w:pPr>
        <w:ind w:left="720" w:hanging="360"/>
      </w:pPr>
      <w:rPr>
        <w:rFonts w:hint="default"/>
      </w:rPr>
    </w:lvl>
    <w:lvl w:ilvl="1" w:tplc="AA8060F4">
      <w:start w:val="1"/>
      <w:numFmt w:val="upperLetter"/>
      <w:lvlText w:val="%2."/>
      <w:lvlJc w:val="left"/>
      <w:pPr>
        <w:ind w:left="1440" w:hanging="360"/>
      </w:pPr>
      <w:rPr>
        <w:rFonts w:hint="default"/>
      </w:rPr>
    </w:lvl>
    <w:lvl w:ilvl="2" w:tplc="71542484">
      <w:numFmt w:val="bullet"/>
      <w:lvlText w:val="•"/>
      <w:lvlJc w:val="left"/>
      <w:pPr>
        <w:ind w:left="2340" w:hanging="360"/>
      </w:pPr>
      <w:rPr>
        <w:rFonts w:ascii="Aptos" w:eastAsiaTheme="minorEastAsia" w:hAnsi="Aptos"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6C35AF"/>
    <w:multiLevelType w:val="hybridMultilevel"/>
    <w:tmpl w:val="53AC7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B979B5"/>
    <w:multiLevelType w:val="hybridMultilevel"/>
    <w:tmpl w:val="E5BA9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B07F2E"/>
    <w:multiLevelType w:val="hybridMultilevel"/>
    <w:tmpl w:val="AFF4C8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0391135"/>
    <w:multiLevelType w:val="hybridMultilevel"/>
    <w:tmpl w:val="AD760D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681E93"/>
    <w:multiLevelType w:val="hybridMultilevel"/>
    <w:tmpl w:val="125A7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8218BF"/>
    <w:multiLevelType w:val="hybridMultilevel"/>
    <w:tmpl w:val="9FE487AA"/>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496766A"/>
    <w:multiLevelType w:val="hybridMultilevel"/>
    <w:tmpl w:val="17D25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2D45AD"/>
    <w:multiLevelType w:val="hybridMultilevel"/>
    <w:tmpl w:val="5C0A5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E87081"/>
    <w:multiLevelType w:val="hybridMultilevel"/>
    <w:tmpl w:val="5B066984"/>
    <w:lvl w:ilvl="0" w:tplc="FFFFFFFF">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530925"/>
    <w:multiLevelType w:val="hybridMultilevel"/>
    <w:tmpl w:val="23D85A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CA7D24"/>
    <w:multiLevelType w:val="hybridMultilevel"/>
    <w:tmpl w:val="9ACAAE0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EA30B3"/>
    <w:multiLevelType w:val="hybridMultilevel"/>
    <w:tmpl w:val="F6CA2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825711"/>
    <w:multiLevelType w:val="hybridMultilevel"/>
    <w:tmpl w:val="D764A3BE"/>
    <w:lvl w:ilvl="0" w:tplc="FFFFFFFF">
      <w:start w:val="2"/>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0F6344"/>
    <w:multiLevelType w:val="hybridMultilevel"/>
    <w:tmpl w:val="D9F4F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2B296C"/>
    <w:multiLevelType w:val="hybridMultilevel"/>
    <w:tmpl w:val="C3D2E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B606B1"/>
    <w:multiLevelType w:val="hybridMultilevel"/>
    <w:tmpl w:val="4AA40174"/>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6BC65DE4"/>
    <w:multiLevelType w:val="hybridMultilevel"/>
    <w:tmpl w:val="8E20C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C106EF"/>
    <w:multiLevelType w:val="hybridMultilevel"/>
    <w:tmpl w:val="ED009B1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421061"/>
    <w:multiLevelType w:val="hybridMultilevel"/>
    <w:tmpl w:val="FD78A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175480"/>
    <w:multiLevelType w:val="hybridMultilevel"/>
    <w:tmpl w:val="011AB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3A09FD"/>
    <w:multiLevelType w:val="hybridMultilevel"/>
    <w:tmpl w:val="91AAA3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911C4C"/>
    <w:multiLevelType w:val="hybridMultilevel"/>
    <w:tmpl w:val="8D045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9B31A7"/>
    <w:multiLevelType w:val="hybridMultilevel"/>
    <w:tmpl w:val="A810E6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0878E8"/>
    <w:multiLevelType w:val="hybridMultilevel"/>
    <w:tmpl w:val="4524E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A231DC"/>
    <w:multiLevelType w:val="hybridMultilevel"/>
    <w:tmpl w:val="FB56D2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DB5BCD"/>
    <w:multiLevelType w:val="hybridMultilevel"/>
    <w:tmpl w:val="F684C414"/>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9657461">
    <w:abstractNumId w:val="8"/>
  </w:num>
  <w:num w:numId="2" w16cid:durableId="1274551785">
    <w:abstractNumId w:val="20"/>
  </w:num>
  <w:num w:numId="3" w16cid:durableId="22748541">
    <w:abstractNumId w:val="37"/>
  </w:num>
  <w:num w:numId="4" w16cid:durableId="1978340676">
    <w:abstractNumId w:val="21"/>
  </w:num>
  <w:num w:numId="5" w16cid:durableId="1744988033">
    <w:abstractNumId w:val="4"/>
  </w:num>
  <w:num w:numId="6" w16cid:durableId="647171375">
    <w:abstractNumId w:val="29"/>
  </w:num>
  <w:num w:numId="7" w16cid:durableId="854997214">
    <w:abstractNumId w:val="22"/>
  </w:num>
  <w:num w:numId="8" w16cid:durableId="1385251266">
    <w:abstractNumId w:val="35"/>
  </w:num>
  <w:num w:numId="9" w16cid:durableId="1477725786">
    <w:abstractNumId w:val="11"/>
  </w:num>
  <w:num w:numId="10" w16cid:durableId="504445874">
    <w:abstractNumId w:val="23"/>
  </w:num>
  <w:num w:numId="11" w16cid:durableId="302585876">
    <w:abstractNumId w:val="33"/>
  </w:num>
  <w:num w:numId="12" w16cid:durableId="1408191846">
    <w:abstractNumId w:val="3"/>
  </w:num>
  <w:num w:numId="13" w16cid:durableId="2096199751">
    <w:abstractNumId w:val="2"/>
  </w:num>
  <w:num w:numId="14" w16cid:durableId="892428321">
    <w:abstractNumId w:val="5"/>
  </w:num>
  <w:num w:numId="15" w16cid:durableId="1821537641">
    <w:abstractNumId w:val="1"/>
  </w:num>
  <w:num w:numId="16" w16cid:durableId="168494942">
    <w:abstractNumId w:val="25"/>
  </w:num>
  <w:num w:numId="17" w16cid:durableId="99958806">
    <w:abstractNumId w:val="15"/>
  </w:num>
  <w:num w:numId="18" w16cid:durableId="711272513">
    <w:abstractNumId w:val="36"/>
  </w:num>
  <w:num w:numId="19" w16cid:durableId="1978294893">
    <w:abstractNumId w:val="12"/>
  </w:num>
  <w:num w:numId="20" w16cid:durableId="1602908960">
    <w:abstractNumId w:val="24"/>
  </w:num>
  <w:num w:numId="21" w16cid:durableId="532422418">
    <w:abstractNumId w:val="10"/>
  </w:num>
  <w:num w:numId="22" w16cid:durableId="1790590250">
    <w:abstractNumId w:val="7"/>
  </w:num>
  <w:num w:numId="23" w16cid:durableId="1823962985">
    <w:abstractNumId w:val="14"/>
  </w:num>
  <w:num w:numId="24" w16cid:durableId="1719427896">
    <w:abstractNumId w:val="27"/>
  </w:num>
  <w:num w:numId="25" w16cid:durableId="1659721795">
    <w:abstractNumId w:val="0"/>
  </w:num>
  <w:num w:numId="26" w16cid:durableId="1968120349">
    <w:abstractNumId w:val="26"/>
  </w:num>
  <w:num w:numId="27" w16cid:durableId="66194851">
    <w:abstractNumId w:val="34"/>
  </w:num>
  <w:num w:numId="28" w16cid:durableId="254166264">
    <w:abstractNumId w:val="9"/>
  </w:num>
  <w:num w:numId="29" w16cid:durableId="440339307">
    <w:abstractNumId w:val="13"/>
  </w:num>
  <w:num w:numId="30" w16cid:durableId="1525365262">
    <w:abstractNumId w:val="31"/>
  </w:num>
  <w:num w:numId="31" w16cid:durableId="162553707">
    <w:abstractNumId w:val="18"/>
  </w:num>
  <w:num w:numId="32" w16cid:durableId="492647021">
    <w:abstractNumId w:val="6"/>
  </w:num>
  <w:num w:numId="33" w16cid:durableId="578171255">
    <w:abstractNumId w:val="32"/>
  </w:num>
  <w:num w:numId="34" w16cid:durableId="531000705">
    <w:abstractNumId w:val="16"/>
  </w:num>
  <w:num w:numId="35" w16cid:durableId="2039619337">
    <w:abstractNumId w:val="19"/>
  </w:num>
  <w:num w:numId="36" w16cid:durableId="76833183">
    <w:abstractNumId w:val="30"/>
  </w:num>
  <w:num w:numId="37" w16cid:durableId="978878365">
    <w:abstractNumId w:val="28"/>
  </w:num>
  <w:num w:numId="38" w16cid:durableId="139616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E9A"/>
    <w:rsid w:val="00036498"/>
    <w:rsid w:val="00063108"/>
    <w:rsid w:val="0008640E"/>
    <w:rsid w:val="000D7D0C"/>
    <w:rsid w:val="000F39BA"/>
    <w:rsid w:val="00185F07"/>
    <w:rsid w:val="001F7C6D"/>
    <w:rsid w:val="00214332"/>
    <w:rsid w:val="00233240"/>
    <w:rsid w:val="00275991"/>
    <w:rsid w:val="002968A9"/>
    <w:rsid w:val="002C3B2A"/>
    <w:rsid w:val="002F7A8E"/>
    <w:rsid w:val="003201DE"/>
    <w:rsid w:val="00331F54"/>
    <w:rsid w:val="003C3913"/>
    <w:rsid w:val="003D4FCD"/>
    <w:rsid w:val="003E7505"/>
    <w:rsid w:val="00401817"/>
    <w:rsid w:val="0040219B"/>
    <w:rsid w:val="00433ECF"/>
    <w:rsid w:val="00471B1D"/>
    <w:rsid w:val="00474E9A"/>
    <w:rsid w:val="004C2225"/>
    <w:rsid w:val="004E4F7C"/>
    <w:rsid w:val="005031E1"/>
    <w:rsid w:val="00511A91"/>
    <w:rsid w:val="005139CF"/>
    <w:rsid w:val="00552084"/>
    <w:rsid w:val="00570F6C"/>
    <w:rsid w:val="00572562"/>
    <w:rsid w:val="00575CED"/>
    <w:rsid w:val="005A4FBD"/>
    <w:rsid w:val="006348A7"/>
    <w:rsid w:val="00650129"/>
    <w:rsid w:val="00667CB0"/>
    <w:rsid w:val="00680D5E"/>
    <w:rsid w:val="00691C05"/>
    <w:rsid w:val="006A6B1E"/>
    <w:rsid w:val="006B2D6A"/>
    <w:rsid w:val="006C3E96"/>
    <w:rsid w:val="006F031F"/>
    <w:rsid w:val="006F2818"/>
    <w:rsid w:val="006F388A"/>
    <w:rsid w:val="00722AFA"/>
    <w:rsid w:val="00776A9E"/>
    <w:rsid w:val="0077716F"/>
    <w:rsid w:val="0079531F"/>
    <w:rsid w:val="007B6DDB"/>
    <w:rsid w:val="007D04B6"/>
    <w:rsid w:val="007D365C"/>
    <w:rsid w:val="0080496D"/>
    <w:rsid w:val="00820373"/>
    <w:rsid w:val="00833733"/>
    <w:rsid w:val="008503DF"/>
    <w:rsid w:val="0085595A"/>
    <w:rsid w:val="00875955"/>
    <w:rsid w:val="008806BF"/>
    <w:rsid w:val="008A59DF"/>
    <w:rsid w:val="008B3661"/>
    <w:rsid w:val="008C3E57"/>
    <w:rsid w:val="008C7AC6"/>
    <w:rsid w:val="008C7B2C"/>
    <w:rsid w:val="008F0190"/>
    <w:rsid w:val="008F5DBC"/>
    <w:rsid w:val="009118DD"/>
    <w:rsid w:val="00944C2E"/>
    <w:rsid w:val="009722FF"/>
    <w:rsid w:val="00A257EF"/>
    <w:rsid w:val="00A50840"/>
    <w:rsid w:val="00A518E8"/>
    <w:rsid w:val="00A543E1"/>
    <w:rsid w:val="00A63B22"/>
    <w:rsid w:val="00AE67A3"/>
    <w:rsid w:val="00AF3D2E"/>
    <w:rsid w:val="00B261D7"/>
    <w:rsid w:val="00B9594C"/>
    <w:rsid w:val="00BF0095"/>
    <w:rsid w:val="00C01D98"/>
    <w:rsid w:val="00C05822"/>
    <w:rsid w:val="00C33D79"/>
    <w:rsid w:val="00C6048D"/>
    <w:rsid w:val="00C87852"/>
    <w:rsid w:val="00C9256E"/>
    <w:rsid w:val="00CB2EA1"/>
    <w:rsid w:val="00CC4D9C"/>
    <w:rsid w:val="00CF612B"/>
    <w:rsid w:val="00D179EF"/>
    <w:rsid w:val="00D21E51"/>
    <w:rsid w:val="00D27657"/>
    <w:rsid w:val="00D71A07"/>
    <w:rsid w:val="00DD68EF"/>
    <w:rsid w:val="00DF2F04"/>
    <w:rsid w:val="00E2072A"/>
    <w:rsid w:val="00E43137"/>
    <w:rsid w:val="00E45BE6"/>
    <w:rsid w:val="00EB4EEA"/>
    <w:rsid w:val="00F01777"/>
    <w:rsid w:val="00F30D52"/>
    <w:rsid w:val="00F32F18"/>
    <w:rsid w:val="00F443C9"/>
    <w:rsid w:val="00FA79A9"/>
    <w:rsid w:val="00FF30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E0B6F53"/>
  <w15:chartTrackingRefBased/>
  <w15:docId w15:val="{8FC97CB8-53DF-A04A-8325-7E33B262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E9A"/>
    <w:rPr>
      <w:rFonts w:eastAsiaTheme="majorEastAsia" w:cstheme="majorBidi"/>
      <w:color w:val="272727" w:themeColor="text1" w:themeTint="D8"/>
    </w:rPr>
  </w:style>
  <w:style w:type="paragraph" w:styleId="Title">
    <w:name w:val="Title"/>
    <w:basedOn w:val="Normal"/>
    <w:next w:val="Normal"/>
    <w:link w:val="TitleChar"/>
    <w:uiPriority w:val="10"/>
    <w:qFormat/>
    <w:rsid w:val="00474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E9A"/>
    <w:pPr>
      <w:spacing w:before="160"/>
      <w:jc w:val="center"/>
    </w:pPr>
    <w:rPr>
      <w:i/>
      <w:iCs/>
      <w:color w:val="404040" w:themeColor="text1" w:themeTint="BF"/>
    </w:rPr>
  </w:style>
  <w:style w:type="character" w:customStyle="1" w:styleId="QuoteChar">
    <w:name w:val="Quote Char"/>
    <w:basedOn w:val="DefaultParagraphFont"/>
    <w:link w:val="Quote"/>
    <w:uiPriority w:val="29"/>
    <w:rsid w:val="00474E9A"/>
    <w:rPr>
      <w:i/>
      <w:iCs/>
      <w:color w:val="404040" w:themeColor="text1" w:themeTint="BF"/>
    </w:rPr>
  </w:style>
  <w:style w:type="paragraph" w:styleId="ListParagraph">
    <w:name w:val="List Paragraph"/>
    <w:basedOn w:val="Normal"/>
    <w:uiPriority w:val="34"/>
    <w:qFormat/>
    <w:rsid w:val="00474E9A"/>
    <w:pPr>
      <w:ind w:left="720"/>
      <w:contextualSpacing/>
    </w:pPr>
  </w:style>
  <w:style w:type="character" w:styleId="IntenseEmphasis">
    <w:name w:val="Intense Emphasis"/>
    <w:basedOn w:val="DefaultParagraphFont"/>
    <w:uiPriority w:val="21"/>
    <w:qFormat/>
    <w:rsid w:val="00474E9A"/>
    <w:rPr>
      <w:i/>
      <w:iCs/>
      <w:color w:val="0F4761" w:themeColor="accent1" w:themeShade="BF"/>
    </w:rPr>
  </w:style>
  <w:style w:type="paragraph" w:styleId="IntenseQuote">
    <w:name w:val="Intense Quote"/>
    <w:basedOn w:val="Normal"/>
    <w:next w:val="Normal"/>
    <w:link w:val="IntenseQuoteChar"/>
    <w:uiPriority w:val="30"/>
    <w:qFormat/>
    <w:rsid w:val="00474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E9A"/>
    <w:rPr>
      <w:i/>
      <w:iCs/>
      <w:color w:val="0F4761" w:themeColor="accent1" w:themeShade="BF"/>
    </w:rPr>
  </w:style>
  <w:style w:type="character" w:styleId="IntenseReference">
    <w:name w:val="Intense Reference"/>
    <w:basedOn w:val="DefaultParagraphFont"/>
    <w:uiPriority w:val="32"/>
    <w:qFormat/>
    <w:rsid w:val="00474E9A"/>
    <w:rPr>
      <w:b/>
      <w:bCs/>
      <w:smallCaps/>
      <w:color w:val="0F4761" w:themeColor="accent1" w:themeShade="BF"/>
      <w:spacing w:val="5"/>
    </w:rPr>
  </w:style>
  <w:style w:type="table" w:styleId="TableGrid">
    <w:name w:val="Table Grid"/>
    <w:basedOn w:val="TableNormal"/>
    <w:uiPriority w:val="39"/>
    <w:rsid w:val="00FF3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jpeg"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1281</Words>
  <Characters>7307</Characters>
  <Application>Microsoft Office Word</Application>
  <DocSecurity>0</DocSecurity>
  <Lines>60</Lines>
  <Paragraphs>17</Paragraphs>
  <ScaleCrop>false</ScaleCrop>
  <Company/>
  <LinksUpToDate>false</LinksUpToDate>
  <CharactersWithSpaces>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shravanidhamal9@gmail.com</dc:creator>
  <cp:keywords/>
  <dc:description/>
  <cp:lastModifiedBy>shravanidhamal9@gmail.com</cp:lastModifiedBy>
  <cp:revision>2</cp:revision>
  <dcterms:created xsi:type="dcterms:W3CDTF">2026-09-25T20:42:00Z</dcterms:created>
  <dcterms:modified xsi:type="dcterms:W3CDTF">2026-09-25T20:42:00Z</dcterms:modified>
</cp:coreProperties>
</file>