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Oswald-Bold" w:hAnsi="Oswald-Bold" w:eastAsia="Oswald-Bold" w:cs="Oswald-Bold"/>
          <w:b/>
          <w:color w:val="424242"/>
          <w:kern w:val="0"/>
          <w:sz w:val="20"/>
          <w:szCs w:val="20"/>
          <w:lang w:val="en-US" w:eastAsia="zh-CN" w:bidi="ar"/>
        </w:rPr>
        <w:t xml:space="preserve">All </w:t>
      </w:r>
      <w:r>
        <w:rPr>
          <w:rFonts w:ascii="Oswald-Regular" w:hAnsi="Oswald-Regular" w:eastAsia="Oswald-Regular" w:cs="Oswald-Regular"/>
          <w:color w:val="424242"/>
          <w:kern w:val="0"/>
          <w:sz w:val="20"/>
          <w:szCs w:val="20"/>
          <w:lang w:val="en-US" w:eastAsia="zh-CN" w:bidi="ar"/>
        </w:rPr>
        <w:t xml:space="preserve">features will be delivered using </w:t>
      </w:r>
      <w:r>
        <w:rPr>
          <w:rFonts w:hint="default" w:ascii="Oswald-Bold" w:hAnsi="Oswald-Bold" w:eastAsia="Oswald-Bold" w:cs="Oswald-Bold"/>
          <w:b/>
          <w:color w:val="424242"/>
          <w:kern w:val="0"/>
          <w:sz w:val="20"/>
          <w:szCs w:val="20"/>
          <w:lang w:val="en-US" w:eastAsia="zh-CN" w:bidi="ar"/>
        </w:rPr>
        <w:t xml:space="preserve">continuous delivery </w:t>
      </w:r>
      <w:r>
        <w:rPr>
          <w:rFonts w:hint="default" w:ascii="Oswald-Regular" w:hAnsi="Oswald-Regular" w:eastAsia="Oswald-Regular" w:cs="Oswald-Regular"/>
          <w:color w:val="424242"/>
          <w:kern w:val="0"/>
          <w:sz w:val="20"/>
          <w:szCs w:val="20"/>
          <w:lang w:val="en-US" w:eastAsia="zh-CN" w:bidi="ar"/>
        </w:rPr>
        <w:t xml:space="preserve">i.e each build goes </w:t>
      </w:r>
      <w:r>
        <w:rPr>
          <w:rFonts w:hint="default" w:ascii="Oswald-Bold" w:hAnsi="Oswald-Bold" w:eastAsia="Oswald-Bold" w:cs="Oswald-Bold"/>
          <w:b/>
          <w:color w:val="424242"/>
          <w:kern w:val="0"/>
          <w:sz w:val="20"/>
          <w:szCs w:val="20"/>
          <w:lang w:val="en-US" w:eastAsia="zh-CN" w:bidi="ar"/>
        </w:rPr>
        <w:t xml:space="preserve">straight to production without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swald-Bold" w:hAnsi="Oswald-Bold" w:eastAsia="Oswald-Bold" w:cs="Oswald-Bold"/>
          <w:b/>
          <w:color w:val="424242"/>
          <w:kern w:val="0"/>
          <w:sz w:val="20"/>
          <w:szCs w:val="20"/>
          <w:lang w:val="en-US" w:eastAsia="zh-CN" w:bidi="ar"/>
        </w:rPr>
        <w:t>manual intervention</w:t>
      </w:r>
      <w:r>
        <w:rPr>
          <w:rFonts w:hint="default" w:ascii="Oswald-Regular" w:hAnsi="Oswald-Regular" w:eastAsia="Oswald-Regular" w:cs="Oswald-Regular"/>
          <w:color w:val="424242"/>
          <w:kern w:val="0"/>
          <w:sz w:val="20"/>
          <w:szCs w:val="20"/>
          <w:lang w:val="en-US" w:eastAsia="zh-CN" w:bidi="ar"/>
        </w:rPr>
        <w:t xml:space="preserve">. There is no preprod or staging environment with all integrations in place.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424242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US" w:eastAsia="zh-CN" w:bidi="ar"/>
        </w:rPr>
        <w:t xml:space="preserve">How can you make sure that this new functionality is ready before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US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US" w:eastAsia="zh-CN" w:bidi="ar"/>
        </w:rPr>
        <w:t xml:space="preserve">it reaches the customer?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  <w:t>Run unit tests and api tests for the new functionality.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  <w:t>Execute smoke tests to ensure reset password functionality works fine after deploying the new enhancements.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  <w:t>Deploy the application on PaaS infrastructure to complete regression tests and end to end tests to against the acceptance criteria in the requirements.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  <w:t>Perform exploratory tests to validate the new features.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424242"/>
          <w:kern w:val="0"/>
          <w:sz w:val="20"/>
          <w:szCs w:val="20"/>
          <w:lang w:val="en-IN" w:eastAsia="zh-CN" w:bidi="ar"/>
        </w:rPr>
        <w:t>Perform post release tests on the production(all positive tests) to ensure the feature was deployed and is ready for customers to use it.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56235"/>
    <w:multiLevelType w:val="singleLevel"/>
    <w:tmpl w:val="33C562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1017E"/>
    <w:rsid w:val="11EC0076"/>
    <w:rsid w:val="1535244B"/>
    <w:rsid w:val="17B0324B"/>
    <w:rsid w:val="39C52E51"/>
    <w:rsid w:val="41D1017E"/>
    <w:rsid w:val="42CD1B0C"/>
    <w:rsid w:val="53B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2020-03-01T21:56:00Z</dcterms:created>
  <dc:creator>pshra</dc:creator>
  <cp:lastModifiedBy>pshra</cp:lastModifiedBy>
  <dcterms:modified xsi:type="dcterms:W3CDTF">2020-03-02T06:47:44Z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