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Supplementary Material</w:t>
        <w:br/>
        <w:t>Beyond Visual Fidelity: A Systematic Evidence Synthesis of Construct Validity in AI UI-to-Code Evaluation</w:t>
      </w:r>
    </w:p>
    <w:p>
      <w:r>
        <w:rPr>
          <w:b/>
        </w:rPr>
        <w:t xml:space="preserve">Purpose. </w:t>
      </w:r>
      <w:r>
        <w:t>This supplement preserves methodological and evidence-audit detail that supports the main manuscript without converting unresolved fields into negative findings or reconstructing unavailable database-search counts.</w:t>
      </w:r>
    </w:p>
    <w:p>
      <w:pPr>
        <w:pStyle w:val="Heading1"/>
      </w:pPr>
      <w:r>
        <w:t>S1. Review governance and evidence states</w:t>
      </w:r>
    </w:p>
    <w:p>
      <w:r>
        <w:t>The synthesis separates author claim, direct instrument measure, and reviewer interpretation. Missing information was coded using explicit states (Reported; Not reported in inspected material; Unclear; Not applicable; Unavailable; Not yet checked) rather than being silently converted to absence.</w:t>
      </w:r>
    </w:p>
    <w:p>
      <w:pPr>
        <w:pStyle w:val="Heading1"/>
      </w:pPr>
      <w:r>
        <w:t>S2. Targeted human verification register</w:t>
      </w:r>
    </w:p>
    <w:p>
      <w:r>
        <w:t>Nine conclusion-critical checks were reviewed by the human reviewer in a non-blinded workflow. These checks verify only the stated scope and do not constitute independent dual coding or whole-paper certification.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Check</w:t>
            </w:r>
          </w:p>
        </w:tc>
        <w:tc>
          <w:tcPr>
            <w:tcW w:type="dxa" w:w="2520"/>
          </w:tcPr>
          <w:p>
            <w:r>
              <w:rPr>
                <w:b/>
              </w:rPr>
              <w:t>Study</w:t>
            </w:r>
          </w:p>
        </w:tc>
        <w:tc>
          <w:tcPr>
            <w:tcW w:type="dxa" w:w="2520"/>
          </w:tcPr>
          <w:p>
            <w:r>
              <w:rPr>
                <w:b/>
              </w:rPr>
              <w:t>Verified scope</w:t>
            </w:r>
          </w:p>
        </w:tc>
        <w:tc>
          <w:tcPr>
            <w:tcW w:type="dxa" w:w="2520"/>
          </w:tcPr>
          <w:p>
            <w:r>
              <w:rPr>
                <w:b/>
              </w:rPr>
              <w:t>Retained limitation</w:t>
            </w:r>
          </w:p>
        </w:tc>
      </w:tr>
      <w:tr>
        <w:tc>
          <w:tcPr>
            <w:tcW w:type="dxa" w:w="2520"/>
            <w:vAlign w:val="top"/>
          </w:tcPr>
          <w:p>
            <w:r>
              <w:rPr>
                <w:sz w:val="15"/>
              </w:rPr>
              <w:t>H01</w:t>
            </w:r>
          </w:p>
        </w:tc>
        <w:tc>
          <w:tcPr>
            <w:tcW w:type="dxa" w:w="2520"/>
            <w:vAlign w:val="top"/>
          </w:tcPr>
          <w:p>
            <w:r>
              <w:rPr>
                <w:sz w:val="15"/>
              </w:rPr>
              <w:t>P06 LayoutCoder</w:t>
            </w:r>
          </w:p>
        </w:tc>
        <w:tc>
          <w:tcPr>
            <w:tcW w:type="dxa" w:w="2520"/>
            <w:vAlign w:val="top"/>
          </w:tcPr>
          <w:p>
            <w:r>
              <w:rPr>
                <w:sz w:val="15"/>
              </w:rPr>
              <w:t>Human evaluation is reported.</w:t>
            </w:r>
          </w:p>
        </w:tc>
        <w:tc>
          <w:tcPr>
            <w:tcW w:type="dxa" w:w="2520"/>
            <w:vAlign w:val="top"/>
          </w:tcPr>
          <w:p>
            <w:r>
              <w:rPr>
                <w:sz w:val="15"/>
              </w:rPr>
              <w:t>Participant count unresolved: §4.1 says 3; §5.4 says 4.</w:t>
            </w:r>
          </w:p>
        </w:tc>
      </w:tr>
      <w:tr>
        <w:tc>
          <w:tcPr>
            <w:tcW w:type="dxa" w:w="2520"/>
            <w:vAlign w:val="top"/>
          </w:tcPr>
          <w:p>
            <w:r>
              <w:rPr>
                <w:sz w:val="15"/>
              </w:rPr>
              <w:t>H02</w:t>
            </w:r>
          </w:p>
        </w:tc>
        <w:tc>
          <w:tcPr>
            <w:tcW w:type="dxa" w:w="2520"/>
            <w:vAlign w:val="top"/>
          </w:tcPr>
          <w:p>
            <w:r>
              <w:rPr>
                <w:sz w:val="15"/>
              </w:rPr>
              <w:t>P01 Design2Code</w:t>
            </w:r>
          </w:p>
        </w:tc>
        <w:tc>
          <w:tcPr>
            <w:tcW w:type="dxa" w:w="2520"/>
            <w:vAlign w:val="top"/>
          </w:tcPr>
          <w:p>
            <w:r>
              <w:rPr>
                <w:sz w:val="15"/>
              </w:rPr>
              <w:t>79.9% is held-out prediction of pairwise human preference by a combined predictor.</w:t>
            </w:r>
          </w:p>
        </w:tc>
        <w:tc>
          <w:tcPr>
            <w:tcW w:type="dxa" w:w="2520"/>
            <w:vAlign w:val="top"/>
          </w:tcPr>
          <w:p>
            <w:r>
              <w:rPr>
                <w:sz w:val="15"/>
              </w:rPr>
              <w:t>Not functional correctness or separate validation of every component.</w:t>
            </w:r>
          </w:p>
        </w:tc>
      </w:tr>
      <w:tr>
        <w:tc>
          <w:tcPr>
            <w:tcW w:type="dxa" w:w="2520"/>
            <w:vAlign w:val="top"/>
          </w:tcPr>
          <w:p>
            <w:r>
              <w:rPr>
                <w:sz w:val="15"/>
              </w:rPr>
              <w:t>H03</w:t>
            </w:r>
          </w:p>
        </w:tc>
        <w:tc>
          <w:tcPr>
            <w:tcW w:type="dxa" w:w="2520"/>
            <w:vAlign w:val="top"/>
          </w:tcPr>
          <w:p>
            <w:r>
              <w:rPr>
                <w:sz w:val="15"/>
              </w:rPr>
              <w:t>P50 MM-WebAgent</w:t>
            </w:r>
          </w:p>
        </w:tc>
        <w:tc>
          <w:tcPr>
            <w:tcW w:type="dxa" w:w="2520"/>
            <w:vAlign w:val="top"/>
          </w:tcPr>
          <w:p>
            <w:r>
              <w:rPr>
                <w:sz w:val="15"/>
              </w:rPr>
              <w:t>Checked specification is text-led; screenshot is internal refinement feedback.</w:t>
            </w:r>
          </w:p>
        </w:tc>
        <w:tc>
          <w:tcPr>
            <w:tcW w:type="dxa" w:w="2520"/>
            <w:vAlign w:val="top"/>
          </w:tcPr>
          <w:p>
            <w:r>
              <w:rPr>
                <w:sz w:val="15"/>
              </w:rPr>
              <w:t>External supplied visual target not established by checked passages.</w:t>
            </w:r>
          </w:p>
        </w:tc>
      </w:tr>
      <w:tr>
        <w:tc>
          <w:tcPr>
            <w:tcW w:type="dxa" w:w="2520"/>
            <w:vAlign w:val="top"/>
          </w:tcPr>
          <w:p>
            <w:r>
              <w:rPr>
                <w:sz w:val="15"/>
              </w:rPr>
              <w:t>H04</w:t>
            </w:r>
          </w:p>
        </w:tc>
        <w:tc>
          <w:tcPr>
            <w:tcW w:type="dxa" w:w="2520"/>
            <w:vAlign w:val="top"/>
          </w:tcPr>
          <w:p>
            <w:r>
              <w:rPr>
                <w:sz w:val="15"/>
              </w:rPr>
              <w:t>P41 UI-UG</w:t>
            </w:r>
          </w:p>
        </w:tc>
        <w:tc>
          <w:tcPr>
            <w:tcW w:type="dxa" w:w="2520"/>
            <w:vAlign w:val="top"/>
          </w:tcPr>
          <w:p>
            <w:r>
              <w:rPr>
                <w:sz w:val="15"/>
              </w:rPr>
              <w:t>Preserve author label “Interface &amp; Interactivity”; checked prompt assesses image appearance/consistency.</w:t>
            </w:r>
          </w:p>
        </w:tc>
        <w:tc>
          <w:tcPr>
            <w:tcW w:type="dxa" w:w="2520"/>
            <w:vAlign w:val="top"/>
          </w:tcPr>
          <w:p>
            <w:r>
              <w:rPr>
                <w:sz w:val="15"/>
              </w:rPr>
              <w:t>Executed interaction is not established by that prompt.</w:t>
            </w:r>
          </w:p>
        </w:tc>
      </w:tr>
      <w:tr>
        <w:tc>
          <w:tcPr>
            <w:tcW w:type="dxa" w:w="2520"/>
            <w:vAlign w:val="top"/>
          </w:tcPr>
          <w:p>
            <w:r>
              <w:rPr>
                <w:sz w:val="15"/>
              </w:rPr>
              <w:t>H05</w:t>
            </w:r>
          </w:p>
        </w:tc>
        <w:tc>
          <w:tcPr>
            <w:tcW w:type="dxa" w:w="2520"/>
            <w:vAlign w:val="top"/>
          </w:tcPr>
          <w:p>
            <w:r>
              <w:rPr>
                <w:sz w:val="15"/>
              </w:rPr>
              <w:t>P18 1D-Bench</w:t>
            </w:r>
          </w:p>
        </w:tc>
        <w:tc>
          <w:tcPr>
            <w:tcW w:type="dxa" w:w="2520"/>
            <w:vAlign w:val="top"/>
          </w:tcPr>
          <w:p>
            <w:r>
              <w:rPr>
                <w:sz w:val="15"/>
              </w:rPr>
              <w:t>Human–metric alignment is reported on controlled perturbations with a visual-closeness criterion.</w:t>
            </w:r>
          </w:p>
        </w:tc>
        <w:tc>
          <w:tcPr>
            <w:tcW w:type="dxa" w:w="2520"/>
            <w:vAlign w:val="top"/>
          </w:tcPr>
          <w:p>
            <w:r>
              <w:rPr>
                <w:sz w:val="15"/>
              </w:rPr>
              <w:t>Transfer to ordinary generated outputs and tuning/confirmation independence not established.</w:t>
            </w:r>
          </w:p>
        </w:tc>
      </w:tr>
      <w:tr>
        <w:tc>
          <w:tcPr>
            <w:tcW w:type="dxa" w:w="2520"/>
            <w:vAlign w:val="top"/>
          </w:tcPr>
          <w:p>
            <w:r>
              <w:rPr>
                <w:sz w:val="15"/>
              </w:rPr>
              <w:t>H06</w:t>
            </w:r>
          </w:p>
        </w:tc>
        <w:tc>
          <w:tcPr>
            <w:tcW w:type="dxa" w:w="2520"/>
            <w:vAlign w:val="top"/>
          </w:tcPr>
          <w:p>
            <w:r>
              <w:rPr>
                <w:sz w:val="15"/>
              </w:rPr>
              <w:t>P65 From Code to Compliance</w:t>
            </w:r>
          </w:p>
        </w:tc>
        <w:tc>
          <w:tcPr>
            <w:tcW w:type="dxa" w:w="2520"/>
            <w:vAlign w:val="top"/>
          </w:tcPr>
          <w:p>
            <w:r>
              <w:rPr>
                <w:sz w:val="15"/>
              </w:rPr>
              <w:t>Reported 90.91% is treated as resolution of manually identified errors.</w:t>
            </w:r>
          </w:p>
        </w:tc>
        <w:tc>
          <w:tcPr>
            <w:tcW w:type="dxa" w:w="2520"/>
            <w:vAlign w:val="top"/>
          </w:tcPr>
          <w:p>
            <w:r>
              <w:rPr>
                <w:sz w:val="15"/>
              </w:rPr>
              <w:t>Not percentage of all WCAG requirements satisfied; conformance not established.</w:t>
            </w:r>
          </w:p>
        </w:tc>
      </w:tr>
      <w:tr>
        <w:tc>
          <w:tcPr>
            <w:tcW w:type="dxa" w:w="2520"/>
            <w:vAlign w:val="top"/>
          </w:tcPr>
          <w:p>
            <w:r>
              <w:rPr>
                <w:sz w:val="15"/>
              </w:rPr>
              <w:t>H07</w:t>
            </w:r>
          </w:p>
        </w:tc>
        <w:tc>
          <w:tcPr>
            <w:tcW w:type="dxa" w:w="2520"/>
            <w:vAlign w:val="top"/>
          </w:tcPr>
          <w:p>
            <w:r>
              <w:rPr>
                <w:sz w:val="15"/>
              </w:rPr>
              <w:t>P66 HFG / honeypot framework</w:t>
            </w:r>
          </w:p>
        </w:tc>
        <w:tc>
          <w:tcPr>
            <w:tcW w:type="dxa" w:w="2520"/>
            <w:vAlign w:val="top"/>
          </w:tcPr>
          <w:p>
            <w:r>
              <w:rPr>
                <w:sz w:val="15"/>
              </w:rPr>
              <w:t>HIR includes bounded frontend action/readiness checks.</w:t>
            </w:r>
          </w:p>
        </w:tc>
        <w:tc>
          <w:tcPr>
            <w:tcW w:type="dxa" w:w="2520"/>
            <w:vAlign w:val="top"/>
          </w:tcPr>
          <w:p>
            <w:r>
              <w:rPr>
                <w:sz w:val="15"/>
              </w:rPr>
              <w:t>No complete backend, end-to-end, or security guarantee.</w:t>
            </w:r>
          </w:p>
        </w:tc>
      </w:tr>
      <w:tr>
        <w:tc>
          <w:tcPr>
            <w:tcW w:type="dxa" w:w="2520"/>
            <w:vAlign w:val="top"/>
          </w:tcPr>
          <w:p>
            <w:r>
              <w:rPr>
                <w:sz w:val="15"/>
              </w:rPr>
              <w:t>H08</w:t>
            </w:r>
          </w:p>
        </w:tc>
        <w:tc>
          <w:tcPr>
            <w:tcW w:type="dxa" w:w="2520"/>
            <w:vAlign w:val="top"/>
          </w:tcPr>
          <w:p>
            <w:r>
              <w:rPr>
                <w:sz w:val="15"/>
              </w:rPr>
              <w:t>P23 WebCompat</w:t>
            </w:r>
          </w:p>
        </w:tc>
        <w:tc>
          <w:tcPr>
            <w:tcW w:type="dxa" w:w="2520"/>
            <w:vAlign w:val="top"/>
          </w:tcPr>
          <w:p>
            <w:r>
              <w:rPr>
                <w:sz w:val="15"/>
              </w:rPr>
              <w:t>139/203 is conditional on retained empirical pages; 2,032 observations are page × environment pairs.</w:t>
            </w:r>
          </w:p>
        </w:tc>
        <w:tc>
          <w:tcPr>
            <w:tcW w:type="dxa" w:w="2520"/>
            <w:vAlign w:val="top"/>
          </w:tcPr>
          <w:p>
            <w:r>
              <w:rPr>
                <w:sz w:val="15"/>
              </w:rPr>
              <w:t>Not all 480 generation attempts and not 2,032 independent webpages.</w:t>
            </w:r>
          </w:p>
        </w:tc>
      </w:tr>
      <w:tr>
        <w:tc>
          <w:tcPr>
            <w:tcW w:type="dxa" w:w="2520"/>
            <w:vAlign w:val="top"/>
          </w:tcPr>
          <w:p>
            <w:r>
              <w:rPr>
                <w:sz w:val="15"/>
              </w:rPr>
              <w:t>H09</w:t>
            </w:r>
          </w:p>
        </w:tc>
        <w:tc>
          <w:tcPr>
            <w:tcW w:type="dxa" w:w="2520"/>
            <w:vAlign w:val="top"/>
          </w:tcPr>
          <w:p>
            <w:r>
              <w:rPr>
                <w:sz w:val="15"/>
              </w:rPr>
              <w:t>P67 ScreenCoder</w:t>
            </w:r>
          </w:p>
        </w:tc>
        <w:tc>
          <w:tcPr>
            <w:tcW w:type="dxa" w:w="2520"/>
            <w:vAlign w:val="top"/>
          </w:tcPr>
          <w:p>
            <w:r>
              <w:rPr>
                <w:sz w:val="15"/>
              </w:rPr>
              <w:t>Human comparative/workflow evidence is retained as reported.</w:t>
            </w:r>
          </w:p>
        </w:tc>
        <w:tc>
          <w:tcPr>
            <w:tcW w:type="dxa" w:w="2520"/>
            <w:vAlign w:val="top"/>
          </w:tcPr>
          <w:p>
            <w:r>
              <w:rPr>
                <w:sz w:val="15"/>
              </w:rPr>
              <w:t>Does not separately validate every automatic visual metric; retry/provenance limits remain.</w:t>
            </w:r>
          </w:p>
        </w:tc>
      </w:tr>
    </w:tbl>
    <w:p>
      <w:pPr>
        <w:pStyle w:val="Heading1"/>
      </w:pPr>
      <w:r>
        <w:t>S3. Conclusion-driving numerical claims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Study</w:t>
            </w:r>
          </w:p>
        </w:tc>
        <w:tc>
          <w:tcPr>
            <w:tcW w:type="dxa" w:w="3360"/>
          </w:tcPr>
          <w:p>
            <w:r>
              <w:rPr>
                <w:b/>
              </w:rPr>
              <w:t>Audited numerical statement</w:t>
            </w:r>
          </w:p>
        </w:tc>
        <w:tc>
          <w:tcPr>
            <w:tcW w:type="dxa" w:w="3360"/>
          </w:tcPr>
          <w:p>
            <w:r>
              <w:rPr>
                <w:b/>
              </w:rPr>
              <w:t>Inference boundary</w:t>
            </w:r>
          </w:p>
        </w:tc>
      </w:tr>
      <w:tr>
        <w:tc>
          <w:tcPr>
            <w:tcW w:type="dxa" w:w="3360"/>
          </w:tcPr>
          <w:p>
            <w:r>
              <w:rPr>
                <w:sz w:val="15"/>
              </w:rPr>
              <w:t>Design2Code</w:t>
            </w:r>
          </w:p>
        </w:tc>
        <w:tc>
          <w:tcPr>
            <w:tcW w:type="dxa" w:w="3360"/>
          </w:tcPr>
          <w:p>
            <w:r>
              <w:rPr>
                <w:sz w:val="15"/>
              </w:rPr>
              <w:t>79.9% held-out test accuracy</w:t>
            </w:r>
          </w:p>
        </w:tc>
        <w:tc>
          <w:tcPr>
            <w:tcW w:type="dxa" w:w="3360"/>
          </w:tcPr>
          <w:p>
            <w:r>
              <w:rPr>
                <w:sz w:val="15"/>
              </w:rPr>
              <w:t>Combined predictor of tested human visual preference; not functional correctness.</w:t>
            </w:r>
          </w:p>
        </w:tc>
      </w:tr>
      <w:tr>
        <w:tc>
          <w:tcPr>
            <w:tcW w:type="dxa" w:w="3360"/>
          </w:tcPr>
          <w:p>
            <w:r>
              <w:rPr>
                <w:sz w:val="15"/>
              </w:rPr>
              <w:t>MRWeb</w:t>
            </w:r>
          </w:p>
        </w:tc>
        <w:tc>
          <w:tcPr>
            <w:tcW w:type="dxa" w:w="3360"/>
          </w:tcPr>
          <w:p>
            <w:r>
              <w:rPr>
                <w:sz w:val="15"/>
              </w:rPr>
              <w:t>600 pairs; 14 raters; MAE 0.542; NEMD 0.508; CLIP 0.340</w:t>
            </w:r>
          </w:p>
        </w:tc>
        <w:tc>
          <w:tcPr>
            <w:tcW w:type="dxa" w:w="3360"/>
          </w:tcPr>
          <w:p>
            <w:r>
              <w:rPr>
                <w:sz w:val="15"/>
              </w:rPr>
              <w:t>Condition-specific human–metric association; 0.640 human entry is rater consistency.</w:t>
            </w:r>
          </w:p>
        </w:tc>
      </w:tr>
      <w:tr>
        <w:tc>
          <w:tcPr>
            <w:tcW w:type="dxa" w:w="3360"/>
          </w:tcPr>
          <w:p>
            <w:r>
              <w:rPr>
                <w:sz w:val="15"/>
              </w:rPr>
              <w:t>WebUIBench</w:t>
            </w:r>
          </w:p>
        </w:tc>
        <w:tc>
          <w:tcPr>
            <w:tcW w:type="dxa" w:w="3360"/>
          </w:tcPr>
          <w:p>
            <w:r>
              <w:rPr>
                <w:sz w:val="15"/>
              </w:rPr>
              <w:t>0.83 reported mean correlation on 100 sampled cases</w:t>
            </w:r>
          </w:p>
        </w:tc>
        <w:tc>
          <w:tcPr>
            <w:tcW w:type="dxa" w:w="3360"/>
          </w:tcPr>
          <w:p>
            <w:r>
              <w:rPr>
                <w:sz w:val="15"/>
              </w:rPr>
              <w:t>Estimator/aggregation unresolved; preserve author-reported “correlation”.</w:t>
            </w:r>
          </w:p>
        </w:tc>
      </w:tr>
      <w:tr>
        <w:tc>
          <w:tcPr>
            <w:tcW w:type="dxa" w:w="3360"/>
          </w:tcPr>
          <w:p>
            <w:r>
              <w:rPr>
                <w:sz w:val="15"/>
              </w:rPr>
              <w:t>DesignBench</w:t>
            </w:r>
          </w:p>
        </w:tc>
        <w:tc>
          <w:tcPr>
            <w:tcW w:type="dxa" w:w="3360"/>
          </w:tcPr>
          <w:p>
            <w:r>
              <w:rPr>
                <w:sz w:val="15"/>
              </w:rPr>
              <w:t>95.54% / 91.89% judge accuracy; κ 0.8648 / 0.8428</w:t>
            </w:r>
          </w:p>
        </w:tc>
        <w:tc>
          <w:tcPr>
            <w:tcW w:type="dxa" w:w="3360"/>
          </w:tcPr>
          <w:p>
            <w:r>
              <w:rPr>
                <w:sz w:val="15"/>
              </w:rPr>
              <w:t>Tested edit/repair judge agreement and label reliability only.</w:t>
            </w:r>
          </w:p>
        </w:tc>
      </w:tr>
      <w:tr>
        <w:tc>
          <w:tcPr>
            <w:tcW w:type="dxa" w:w="3360"/>
          </w:tcPr>
          <w:p>
            <w:r>
              <w:rPr>
                <w:sz w:val="15"/>
              </w:rPr>
              <w:t>1D-Bench</w:t>
            </w:r>
          </w:p>
        </w:tc>
        <w:tc>
          <w:tcPr>
            <w:tcW w:type="dxa" w:w="3360"/>
          </w:tcPr>
          <w:p>
            <w:r>
              <w:rPr>
                <w:sz w:val="15"/>
              </w:rPr>
              <w:t>50 instances; 20 annotators</w:t>
            </w:r>
          </w:p>
        </w:tc>
        <w:tc>
          <w:tcPr>
            <w:tcW w:type="dxa" w:w="3360"/>
          </w:tcPr>
          <w:p>
            <w:r>
              <w:rPr>
                <w:sz w:val="15"/>
              </w:rPr>
              <w:t>Controlled perturbation visual-closeness criterion.</w:t>
            </w:r>
          </w:p>
        </w:tc>
      </w:tr>
      <w:tr>
        <w:tc>
          <w:tcPr>
            <w:tcW w:type="dxa" w:w="3360"/>
          </w:tcPr>
          <w:p>
            <w:r>
              <w:rPr>
                <w:sz w:val="15"/>
              </w:rPr>
              <w:t>WebCompat</w:t>
            </w:r>
          </w:p>
        </w:tc>
        <w:tc>
          <w:tcPr>
            <w:tcW w:type="dxa" w:w="3360"/>
          </w:tcPr>
          <w:p>
            <w:r>
              <w:rPr>
                <w:sz w:val="15"/>
              </w:rPr>
              <w:t>139/203 = 68.5%; held-out F1 0.903</w:t>
            </w:r>
          </w:p>
        </w:tc>
        <w:tc>
          <w:tcPr>
            <w:tcW w:type="dxa" w:w="3360"/>
          </w:tcPr>
          <w:p>
            <w:r>
              <w:rPr>
                <w:sz w:val="15"/>
              </w:rPr>
              <w:t>Prevalence is conditional on retained pages; detector F1 is not generation success.</w:t>
            </w:r>
          </w:p>
        </w:tc>
      </w:tr>
      <w:tr>
        <w:tc>
          <w:tcPr>
            <w:tcW w:type="dxa" w:w="3360"/>
          </w:tcPr>
          <w:p>
            <w:r>
              <w:rPr>
                <w:sz w:val="15"/>
              </w:rPr>
              <w:t>WebVR</w:t>
            </w:r>
          </w:p>
        </w:tc>
        <w:tc>
          <w:tcPr>
            <w:tcW w:type="dxa" w:w="3360"/>
          </w:tcPr>
          <w:p>
            <w:r>
              <w:rPr>
                <w:sz w:val="15"/>
              </w:rPr>
              <w:t>86.7% mean agreement; one condition 96.0%</w:t>
            </w:r>
          </w:p>
        </w:tc>
        <w:tc>
          <w:tcPr>
            <w:tcW w:type="dxa" w:w="3360"/>
          </w:tcPr>
          <w:p>
            <w:r>
              <w:rPr>
                <w:sz w:val="15"/>
              </w:rPr>
              <w:t>Specific rubric/model/evidence configuration on 50 instances with five UI/UX experts.</w:t>
            </w:r>
          </w:p>
        </w:tc>
      </w:tr>
      <w:tr>
        <w:tc>
          <w:tcPr>
            <w:tcW w:type="dxa" w:w="3360"/>
          </w:tcPr>
          <w:p>
            <w:r>
              <w:rPr>
                <w:sz w:val="15"/>
              </w:rPr>
              <w:t>Animation2Code</w:t>
            </w:r>
          </w:p>
        </w:tc>
        <w:tc>
          <w:tcPr>
            <w:tcW w:type="dxa" w:w="3360"/>
          </w:tcPr>
          <w:p>
            <w:r>
              <w:rPr>
                <w:sz w:val="15"/>
              </w:rPr>
              <w:t>1,069 pairs; 600 human comparisons; 65 annotators</w:t>
            </w:r>
          </w:p>
        </w:tc>
        <w:tc>
          <w:tcPr>
            <w:tcW w:type="dxa" w:w="3360"/>
          </w:tcPr>
          <w:p>
            <w:r>
              <w:rPr>
                <w:sz w:val="15"/>
              </w:rPr>
              <w:t>Dimension-specific validation; temporal similarity is not generic functionality.</w:t>
            </w:r>
          </w:p>
        </w:tc>
      </w:tr>
    </w:tbl>
    <w:p>
      <w:pPr>
        <w:pStyle w:val="Heading1"/>
      </w:pPr>
      <w:r>
        <w:t>S4. Reproducibility coding ladder</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Level</w:t>
            </w:r>
          </w:p>
        </w:tc>
        <w:tc>
          <w:tcPr>
            <w:tcW w:type="dxa" w:w="3360"/>
          </w:tcPr>
          <w:p>
            <w:r>
              <w:rPr>
                <w:b/>
              </w:rPr>
              <w:t>State</w:t>
            </w:r>
          </w:p>
        </w:tc>
        <w:tc>
          <w:tcPr>
            <w:tcW w:type="dxa" w:w="3360"/>
          </w:tcPr>
          <w:p>
            <w:r>
              <w:rPr>
                <w:b/>
              </w:rPr>
              <w:t>Meaning</w:t>
            </w:r>
          </w:p>
        </w:tc>
      </w:tr>
      <w:tr>
        <w:tc>
          <w:tcPr>
            <w:tcW w:type="dxa" w:w="3360"/>
          </w:tcPr>
          <w:p>
            <w:r>
              <w:t>1</w:t>
            </w:r>
          </w:p>
        </w:tc>
        <w:tc>
          <w:tcPr>
            <w:tcW w:type="dxa" w:w="3360"/>
          </w:tcPr>
          <w:p>
            <w:r>
              <w:t>Environment described</w:t>
            </w:r>
          </w:p>
        </w:tc>
        <w:tc>
          <w:tcPr>
            <w:tcW w:type="dxa" w:w="3360"/>
          </w:tcPr>
          <w:p>
            <w:r>
              <w:t>Relevant browser/runtime/viewport/dependency configuration reported.</w:t>
            </w:r>
          </w:p>
        </w:tc>
      </w:tr>
      <w:tr>
        <w:tc>
          <w:tcPr>
            <w:tcW w:type="dxa" w:w="3360"/>
          </w:tcPr>
          <w:p>
            <w:r>
              <w:t>2</w:t>
            </w:r>
          </w:p>
        </w:tc>
        <w:tc>
          <w:tcPr>
            <w:tcW w:type="dxa" w:w="3360"/>
          </w:tcPr>
          <w:p>
            <w:r>
              <w:t>Artifacts available</w:t>
            </w:r>
          </w:p>
        </w:tc>
        <w:tc>
          <w:tcPr>
            <w:tcW w:type="dxa" w:w="3360"/>
          </w:tcPr>
          <w:p>
            <w:r>
              <w:t>Code, data, prompts, or evaluator artifacts released.</w:t>
            </w:r>
          </w:p>
        </w:tc>
      </w:tr>
      <w:tr>
        <w:tc>
          <w:tcPr>
            <w:tcW w:type="dxa" w:w="3360"/>
          </w:tcPr>
          <w:p>
            <w:r>
              <w:t>3</w:t>
            </w:r>
          </w:p>
        </w:tc>
        <w:tc>
          <w:tcPr>
            <w:tcW w:type="dxa" w:w="3360"/>
          </w:tcPr>
          <w:p>
            <w:r>
              <w:t>Artifact pinned</w:t>
            </w:r>
          </w:p>
        </w:tc>
        <w:tc>
          <w:tcPr>
            <w:tcW w:type="dxa" w:w="3360"/>
          </w:tcPr>
          <w:p>
            <w:r>
              <w:t>Immutable version, commit, release, or hash identified.</w:t>
            </w:r>
          </w:p>
        </w:tc>
      </w:tr>
      <w:tr>
        <w:tc>
          <w:tcPr>
            <w:tcW w:type="dxa" w:w="3360"/>
          </w:tcPr>
          <w:p>
            <w:r>
              <w:t>4</w:t>
            </w:r>
          </w:p>
        </w:tc>
        <w:tc>
          <w:tcPr>
            <w:tcW w:type="dxa" w:w="3360"/>
          </w:tcPr>
          <w:p>
            <w:r>
              <w:t>Procedure inspectable</w:t>
            </w:r>
          </w:p>
        </w:tc>
        <w:tc>
          <w:tcPr>
            <w:tcW w:type="dxa" w:w="3360"/>
          </w:tcPr>
          <w:p>
            <w:r>
              <w:t>Evaluator logic sufficiently inspectable to reconstruct operational rule.</w:t>
            </w:r>
          </w:p>
        </w:tc>
      </w:tr>
      <w:tr>
        <w:tc>
          <w:tcPr>
            <w:tcW w:type="dxa" w:w="3360"/>
          </w:tcPr>
          <w:p>
            <w:r>
              <w:t>5</w:t>
            </w:r>
          </w:p>
        </w:tc>
        <w:tc>
          <w:tcPr>
            <w:tcW w:type="dxa" w:w="3360"/>
          </w:tcPr>
          <w:p>
            <w:r>
              <w:t>Historical-run equivalence</w:t>
            </w:r>
          </w:p>
        </w:tc>
        <w:tc>
          <w:tcPr>
            <w:tcW w:type="dxa" w:w="3360"/>
          </w:tcPr>
          <w:p>
            <w:r>
              <w:t>Available artifact demonstrably matches reported experimental run.</w:t>
            </w:r>
          </w:p>
        </w:tc>
      </w:tr>
      <w:tr>
        <w:tc>
          <w:tcPr>
            <w:tcW w:type="dxa" w:w="3360"/>
          </w:tcPr>
          <w:p>
            <w:r>
              <w:t>6</w:t>
            </w:r>
          </w:p>
        </w:tc>
        <w:tc>
          <w:tcPr>
            <w:tcW w:type="dxa" w:w="3360"/>
          </w:tcPr>
          <w:p>
            <w:r>
              <w:t>Independent reproduction</w:t>
            </w:r>
          </w:p>
        </w:tc>
        <w:tc>
          <w:tcPr>
            <w:tcW w:type="dxa" w:w="3360"/>
          </w:tcPr>
          <w:p>
            <w:r>
              <w:t>Another execution independently reproduced or verified the result.</w:t>
            </w:r>
          </w:p>
        </w:tc>
      </w:tr>
    </w:tbl>
    <w:p>
      <w:pPr>
        <w:pStyle w:val="Heading1"/>
      </w:pPr>
      <w:r>
        <w:t>S5. Dependency-aware study families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Family</w:t>
            </w:r>
          </w:p>
        </w:tc>
        <w:tc>
          <w:tcPr>
            <w:tcW w:type="dxa" w:w="2520"/>
          </w:tcPr>
          <w:p>
            <w:r>
              <w:rPr>
                <w:b/>
              </w:rPr>
              <w:t>Representative studies</w:t>
            </w:r>
          </w:p>
        </w:tc>
        <w:tc>
          <w:tcPr>
            <w:tcW w:type="dxa" w:w="2520"/>
          </w:tcPr>
          <w:p>
            <w:r>
              <w:rPr>
                <w:b/>
              </w:rPr>
              <w:t>Shared dependence</w:t>
            </w:r>
          </w:p>
        </w:tc>
        <w:tc>
          <w:tcPr>
            <w:tcW w:type="dxa" w:w="2520"/>
          </w:tcPr>
          <w:p>
            <w:r>
              <w:rPr>
                <w:b/>
              </w:rPr>
              <w:t>Interpretation</w:t>
            </w:r>
          </w:p>
        </w:tc>
      </w:tr>
      <w:tr>
        <w:tc>
          <w:tcPr>
            <w:tcW w:type="dxa" w:w="2520"/>
          </w:tcPr>
          <w:p>
            <w:r>
              <w:rPr>
                <w:sz w:val="15"/>
              </w:rPr>
              <w:t>Design2Code visual lineage</w:t>
            </w:r>
          </w:p>
        </w:tc>
        <w:tc>
          <w:tcPr>
            <w:tcW w:type="dxa" w:w="2520"/>
          </w:tcPr>
          <w:p>
            <w:r>
              <w:rPr>
                <w:sz w:val="15"/>
              </w:rPr>
              <w:t>P01, P05, P06, P24, P67; P07 has derived source-page ancestry</w:t>
            </w:r>
          </w:p>
        </w:tc>
        <w:tc>
          <w:tcPr>
            <w:tcW w:type="dxa" w:w="2520"/>
          </w:tcPr>
          <w:p>
            <w:r>
              <w:rPr>
                <w:sz w:val="15"/>
              </w:rPr>
              <w:t>Benchmark and/or fine-grained visual metric reuse</w:t>
            </w:r>
          </w:p>
        </w:tc>
        <w:tc>
          <w:tcPr>
            <w:tcW w:type="dxa" w:w="2520"/>
          </w:tcPr>
          <w:p>
            <w:r>
              <w:rPr>
                <w:sz w:val="15"/>
              </w:rPr>
              <w:t>Adoption/reuse; independent evidence only where a new criterion/construct is introduced.</w:t>
            </w:r>
          </w:p>
        </w:tc>
      </w:tr>
      <w:tr>
        <w:tc>
          <w:tcPr>
            <w:tcW w:type="dxa" w:w="2520"/>
          </w:tcPr>
          <w:p>
            <w:r>
              <w:rPr>
                <w:sz w:val="15"/>
              </w:rPr>
              <w:t>WebCode2M lineage</w:t>
            </w:r>
          </w:p>
        </w:tc>
        <w:tc>
          <w:tcPr>
            <w:tcW w:type="dxa" w:w="2520"/>
          </w:tcPr>
          <w:p>
            <w:r>
              <w:rPr>
                <w:sz w:val="15"/>
              </w:rPr>
              <w:t>P03, P09</w:t>
            </w:r>
          </w:p>
        </w:tc>
        <w:tc>
          <w:tcPr>
            <w:tcW w:type="dxa" w:w="2520"/>
          </w:tcPr>
          <w:p>
            <w:r>
              <w:rPr>
                <w:sz w:val="15"/>
              </w:rPr>
              <w:t>Dataset/reference family</w:t>
            </w:r>
          </w:p>
        </w:tc>
        <w:tc>
          <w:tcPr>
            <w:tcW w:type="dxa" w:w="2520"/>
          </w:tcPr>
          <w:p>
            <w:r>
              <w:rPr>
                <w:sz w:val="15"/>
              </w:rPr>
              <w:t>Method and human outcome evidence can remain distinct; inherited benchmark validity is not multiplied.</w:t>
            </w:r>
          </w:p>
        </w:tc>
      </w:tr>
      <w:tr>
        <w:tc>
          <w:tcPr>
            <w:tcW w:type="dxa" w:w="2520"/>
          </w:tcPr>
          <w:p>
            <w:r>
              <w:rPr>
                <w:sz w:val="15"/>
              </w:rPr>
              <w:t>Multi-benchmark optimization/reward</w:t>
            </w:r>
          </w:p>
        </w:tc>
        <w:tc>
          <w:tcPr>
            <w:tcW w:type="dxa" w:w="2520"/>
          </w:tcPr>
          <w:p>
            <w:r>
              <w:rPr>
                <w:sz w:val="15"/>
              </w:rPr>
              <w:t>P19, P69</w:t>
            </w:r>
          </w:p>
        </w:tc>
        <w:tc>
          <w:tcPr>
            <w:tcW w:type="dxa" w:w="2520"/>
          </w:tcPr>
          <w:p>
            <w:r>
              <w:rPr>
                <w:sz w:val="15"/>
              </w:rPr>
              <w:t>Reuse of Design2Code/Web2Code/ScreenBench-style resources</w:t>
            </w:r>
          </w:p>
        </w:tc>
        <w:tc>
          <w:tcPr>
            <w:tcW w:type="dxa" w:w="2520"/>
          </w:tcPr>
          <w:p>
            <w:r>
              <w:rPr>
                <w:sz w:val="15"/>
              </w:rPr>
              <w:t>Strong for metric-role/optimization analysis, not automatically new validation of inherited metrics.</w:t>
            </w:r>
          </w:p>
        </w:tc>
      </w:tr>
      <w:tr>
        <w:tc>
          <w:tcPr>
            <w:tcW w:type="dxa" w:w="2520"/>
          </w:tcPr>
          <w:p>
            <w:r>
              <w:rPr>
                <w:sz w:val="15"/>
              </w:rPr>
              <w:t>Critic/checklist role family</w:t>
            </w:r>
          </w:p>
        </w:tc>
        <w:tc>
          <w:tcPr>
            <w:tcW w:type="dxa" w:w="2520"/>
          </w:tcPr>
          <w:p>
            <w:r>
              <w:rPr>
                <w:sz w:val="15"/>
              </w:rPr>
              <w:t>P20, P21</w:t>
            </w:r>
          </w:p>
        </w:tc>
        <w:tc>
          <w:tcPr>
            <w:tcW w:type="dxa" w:w="2520"/>
          </w:tcPr>
          <w:p>
            <w:r>
              <w:rPr>
                <w:sz w:val="15"/>
              </w:rPr>
              <w:t>Evaluator/reward paradigm</w:t>
            </w:r>
          </w:p>
        </w:tc>
        <w:tc>
          <w:tcPr>
            <w:tcW w:type="dxa" w:w="2520"/>
          </w:tcPr>
          <w:p>
            <w:r>
              <w:rPr>
                <w:sz w:val="15"/>
              </w:rPr>
              <w:t>Shows why evaluator role matters.</w:t>
            </w:r>
          </w:p>
        </w:tc>
      </w:tr>
      <w:tr>
        <w:tc>
          <w:tcPr>
            <w:tcW w:type="dxa" w:w="2520"/>
          </w:tcPr>
          <w:p>
            <w:r>
              <w:rPr>
                <w:sz w:val="15"/>
              </w:rPr>
              <w:t>Cross-environment extension</w:t>
            </w:r>
          </w:p>
        </w:tc>
        <w:tc>
          <w:tcPr>
            <w:tcW w:type="dxa" w:w="2520"/>
          </w:tcPr>
          <w:p>
            <w:r>
              <w:rPr>
                <w:sz w:val="15"/>
              </w:rPr>
              <w:t>P23</w:t>
            </w:r>
          </w:p>
        </w:tc>
        <w:tc>
          <w:tcPr>
            <w:tcW w:type="dxa" w:w="2520"/>
          </w:tcPr>
          <w:p>
            <w:r>
              <w:rPr>
                <w:sz w:val="15"/>
              </w:rPr>
              <w:t>Design2Code/DCGen-derived source-design ancestry</w:t>
            </w:r>
          </w:p>
        </w:tc>
        <w:tc>
          <w:tcPr>
            <w:tcW w:type="dxa" w:w="2520"/>
          </w:tcPr>
          <w:p>
            <w:r>
              <w:rPr>
                <w:sz w:val="15"/>
              </w:rPr>
              <w:t>Adds an orthogonal compatibility construct, annotation protocol, and detector validation.</w:t>
            </w:r>
          </w:p>
        </w:tc>
      </w:tr>
    </w:tbl>
    <w:p>
      <w:pPr>
        <w:pStyle w:val="Heading1"/>
      </w:pPr>
      <w:r>
        <w:t>S6. Late-update studies retained before evidence freeze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Study</w:t>
            </w:r>
          </w:p>
        </w:tc>
        <w:tc>
          <w:tcPr>
            <w:tcW w:type="dxa" w:w="3360"/>
          </w:tcPr>
          <w:p>
            <w:r>
              <w:rPr>
                <w:b/>
              </w:rPr>
              <w:t>Disposition</w:t>
            </w:r>
          </w:p>
        </w:tc>
        <w:tc>
          <w:tcPr>
            <w:tcW w:type="dxa" w:w="3360"/>
          </w:tcPr>
          <w:p>
            <w:r>
              <w:rPr>
                <w:b/>
              </w:rPr>
              <w:t>Reason for retention</w:t>
            </w:r>
          </w:p>
        </w:tc>
      </w:tr>
      <w:tr>
        <w:tc>
          <w:tcPr>
            <w:tcW w:type="dxa" w:w="3360"/>
          </w:tcPr>
          <w:p>
            <w:r>
              <w:t>P67 ScreenCoder</w:t>
            </w:r>
          </w:p>
        </w:tc>
        <w:tc>
          <w:tcPr>
            <w:tcW w:type="dxa" w:w="3360"/>
          </w:tcPr>
          <w:p>
            <w:r>
              <w:t>Core visual-to-code</w:t>
            </w:r>
          </w:p>
        </w:tc>
        <w:tc>
          <w:tcPr>
            <w:tcW w:type="dxa" w:w="3360"/>
          </w:tcPr>
          <w:p>
            <w:r>
              <w:t>ScreenBench and comparative/workflow evidence; provenance/retry limitations retained.</w:t>
            </w:r>
          </w:p>
        </w:tc>
      </w:tr>
      <w:tr>
        <w:tc>
          <w:tcPr>
            <w:tcW w:type="dxa" w:w="3360"/>
          </w:tcPr>
          <w:p>
            <w:r>
              <w:t>P69 UniCoder</w:t>
            </w:r>
          </w:p>
        </w:tc>
        <w:tc>
          <w:tcPr>
            <w:tcW w:type="dxa" w:w="3360"/>
          </w:tcPr>
          <w:p>
            <w:r>
              <w:t>Boundary/reward-design</w:t>
            </w:r>
          </w:p>
        </w:tc>
        <w:tc>
          <w:tcPr>
            <w:tcW w:type="dxa" w:w="3360"/>
          </w:tcPr>
          <w:p>
            <w:r>
              <w:t>Uses existing benchmark families; contributes primarily to reward-role analysis.</w:t>
            </w:r>
          </w:p>
        </w:tc>
      </w:tr>
      <w:tr>
        <w:tc>
          <w:tcPr>
            <w:tcW w:type="dxa" w:w="3360"/>
          </w:tcPr>
          <w:p>
            <w:r>
              <w:t>P70 Animation2Code</w:t>
            </w:r>
          </w:p>
        </w:tc>
        <w:tc>
          <w:tcPr>
            <w:tcW w:type="dxa" w:w="3360"/>
          </w:tcPr>
          <w:p>
            <w:r>
              <w:t>Core dynamic/temporal</w:t>
            </w:r>
          </w:p>
        </w:tc>
        <w:tc>
          <w:tcPr>
            <w:tcW w:type="dxa" w:w="3360"/>
          </w:tcPr>
          <w:p>
            <w:r>
              <w:t>Separates appearance and temporal similarity; positive human criterion evidence.</w:t>
            </w:r>
          </w:p>
        </w:tc>
      </w:tr>
      <w:tr>
        <w:tc>
          <w:tcPr>
            <w:tcW w:type="dxa" w:w="3360"/>
          </w:tcPr>
          <w:p>
            <w:r>
              <w:t>P71 WebVR</w:t>
            </w:r>
          </w:p>
        </w:tc>
        <w:tc>
          <w:tcPr>
            <w:tcW w:type="dxa" w:w="3360"/>
          </w:tcPr>
          <w:p>
            <w:r>
              <w:t>Core video-conditioned</w:t>
            </w:r>
          </w:p>
        </w:tc>
        <w:tc>
          <w:tcPr>
            <w:tcW w:type="dxa" w:w="3360"/>
          </w:tcPr>
          <w:p>
            <w:r>
              <w:t>Rubric/evidence-modality learned-judge validation with expert criterion.</w:t>
            </w:r>
          </w:p>
        </w:tc>
      </w:tr>
    </w:tbl>
    <w:p>
      <w:pPr>
        <w:pStyle w:val="Heading1"/>
      </w:pPr>
      <w:r>
        <w:t>S7. Evidence-derived reporting checklist</w:t>
      </w:r>
    </w:p>
    <w:tbl>
      <w:tblPr>
        <w:tblStyle w:val="TableGrid"/>
        <w:tblW w:type="auto" w:w="0"/>
        <w:tblLook w:firstColumn="1" w:firstRow="1" w:lastColumn="0" w:lastRow="0" w:noHBand="0" w:noVBand="1" w:val="04A0"/>
      </w:tblPr>
      <w:tblGrid>
        <w:gridCol w:w="5040"/>
        <w:gridCol w:w="5040"/>
      </w:tblGrid>
      <w:tr>
        <w:tc>
          <w:tcPr>
            <w:tcW w:type="dxa" w:w="5040"/>
          </w:tcPr>
          <w:p>
            <w:r>
              <w:rPr>
                <w:b/>
              </w:rPr>
              <w:t>Domain</w:t>
            </w:r>
          </w:p>
        </w:tc>
        <w:tc>
          <w:tcPr>
            <w:tcW w:type="dxa" w:w="5040"/>
          </w:tcPr>
          <w:p>
            <w:r>
              <w:rPr>
                <w:b/>
              </w:rPr>
              <w:t>Minimum reporting elements</w:t>
            </w:r>
          </w:p>
        </w:tc>
      </w:tr>
      <w:tr>
        <w:tc>
          <w:tcPr>
            <w:tcW w:type="dxa" w:w="5040"/>
          </w:tcPr>
          <w:p>
            <w:r>
              <w:t>Claim &amp; task scope</w:t>
            </w:r>
          </w:p>
        </w:tc>
        <w:tc>
          <w:tcPr>
            <w:tcW w:type="dxa" w:w="5040"/>
          </w:tcPr>
          <w:p>
            <w:r>
              <w:t>Construct; input evidence; output framework; generation/edit/repair mode; human/tool intervention.</w:t>
            </w:r>
          </w:p>
        </w:tc>
      </w:tr>
      <w:tr>
        <w:tc>
          <w:tcPr>
            <w:tcW w:type="dxa" w:w="5040"/>
          </w:tcPr>
          <w:p>
            <w:r>
              <w:t>Instrument &amp; role</w:t>
            </w:r>
          </w:p>
        </w:tc>
        <w:tc>
          <w:tcPr>
            <w:tcW w:type="dxa" w:w="5040"/>
          </w:tcPr>
          <w:p>
            <w:r>
              <w:t>Formula/implementation/version; reference; thresholds; learned-judge prompt/model; aggregation; role.</w:t>
            </w:r>
          </w:p>
        </w:tc>
      </w:tr>
      <w:tr>
        <w:tc>
          <w:tcPr>
            <w:tcW w:type="dxa" w:w="5040"/>
          </w:tcPr>
          <w:p>
            <w:r>
              <w:t>Population &amp; denominator</w:t>
            </w:r>
          </w:p>
        </w:tc>
        <w:tc>
          <w:tcPr>
            <w:tcW w:type="dxa" w:w="5040"/>
          </w:tcPr>
          <w:p>
            <w:r>
              <w:t>Attempted N; failures; exclusions; retries; selected/evaluable N; observation unit.</w:t>
            </w:r>
          </w:p>
        </w:tc>
      </w:tr>
      <w:tr>
        <w:tc>
          <w:tcPr>
            <w:tcW w:type="dxa" w:w="5040"/>
          </w:tcPr>
          <w:p>
            <w:r>
              <w:t>Validation &amp; reliability</w:t>
            </w:r>
          </w:p>
        </w:tc>
        <w:tc>
          <w:tcPr>
            <w:tcW w:type="dxa" w:w="5040"/>
          </w:tcPr>
          <w:p>
            <w:r>
              <w:t>Criterion; sample; estimator; uncertainty; rater protocol; tuning vs confirmation.</w:t>
            </w:r>
          </w:p>
        </w:tc>
      </w:tr>
      <w:tr>
        <w:tc>
          <w:tcPr>
            <w:tcW w:type="dxa" w:w="5040"/>
          </w:tcPr>
          <w:p>
            <w:r>
              <w:t>Environment &amp; direct tests</w:t>
            </w:r>
          </w:p>
        </w:tc>
        <w:tc>
          <w:tcPr>
            <w:tcW w:type="dxa" w:w="5040"/>
          </w:tcPr>
          <w:p>
            <w:r>
              <w:t>Browser/runtime/viewport/assets/timing; action/assertion or wider-condition tests when claimed.</w:t>
            </w:r>
          </w:p>
        </w:tc>
      </w:tr>
      <w:tr>
        <w:tc>
          <w:tcPr>
            <w:tcW w:type="dxa" w:w="5040"/>
          </w:tcPr>
          <w:p>
            <w:r>
              <w:t>Dependence &amp; reproducibility</w:t>
            </w:r>
          </w:p>
        </w:tc>
        <w:tc>
          <w:tcPr>
            <w:tcW w:type="dxa" w:w="5040"/>
          </w:tcPr>
          <w:p>
            <w:r>
              <w:t>Benchmark lineage; shared samples/raters; artifacts; hashes/commits; historical-run equivalence; inference limit.</w:t>
            </w:r>
          </w:p>
        </w:tc>
      </w:tr>
    </w:tbl>
    <w:p>
      <w:pPr>
        <w:pStyle w:val="Heading1"/>
      </w:pPr>
      <w:r>
        <w:t>S8. Search-accounting note</w:t>
      </w:r>
    </w:p>
    <w:p>
      <w:r>
        <w:t>The retained project record does not contain a complete native-database export and global deduplication trail from Scopus, Web of Science, ACM Digital Library, and IEEE Xplore. The review therefore does not reconstruct unsupported PRISMA identification counts and does not treat public-web site-restricted searches as native database searches. A bounded final update search was performed before freeze; newly identified eligible studies were logged explicitly.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