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Web UI to Code Review Protocol</w:t>
      </w:r>
    </w:p>
    <w:p>
      <w:r>
        <w:t>Version 0.1 | 12 September 2026 | Phase One protocol draft</w:t>
      </w:r>
    </w:p>
    <w:p>
      <w:pPr>
        <w:pStyle w:val="Heading1"/>
      </w:pPr>
      <w:r>
        <w:t>Purpose and review status</w:t>
      </w:r>
    </w:p>
    <w:p>
      <w:r>
        <w:t>We will systematically examine how evaluation measures support claims about AI-generated web interfaces. The unit of analysis is a metric used for a specified claim, task and evaluation setting. The intended contribution is an evidence map of measurement practices and a claim-sensitive evaluation checklist. Information and Software Technology remains the provisional target journal.</w:t>
      </w:r>
    </w:p>
    <w:p>
      <w:r>
        <w:t>Exploratory searching and preliminary extraction preceded this protocol. The inherited workbook contains 33 candidate or adjacent records and 10 audit entries with mixed evidence levels. Those entries are not 10 completed, independently verified full-text extractions. All retained studies require source-located recoding under this protocol. The seed counts are not PRISMA search counts.</w:t>
      </w:r>
    </w:p>
    <w:p>
      <w:r>
        <w:t>This protocol is not registered or frozen. Database query syntax and seed recall still require live testing; independent reviewers and database access must be confirmed. Any later registration will disclose the prior exploratory work. No claims about novelty or corpus-wide metric validity are treated as established findings.</w:t>
      </w:r>
    </w:p>
    <w:p>
      <w:pPr>
        <w:pStyle w:val="Heading1"/>
      </w:pPr>
      <w:r>
        <w:t>Research questions and planned outputs</w:t>
      </w:r>
    </w:p>
    <w:tbl>
      <w:tblPr>
        <w:tblW w:type="auto" w:w="0"/>
        <w:tblLayout w:type="fixed"/>
        <w:tblLook w:firstColumn="1" w:firstRow="1" w:lastColumn="0" w:lastRow="0" w:noHBand="0" w:noVBand="1" w:val="04A0"/>
      </w:tblPr>
      <w:tblGrid>
        <w:gridCol w:w="4896"/>
        <w:gridCol w:w="5040"/>
      </w:tblGrid>
      <w:tr>
        <w:trPr>
          <w:cantSplit/>
          <w:tblHeader/>
        </w:trPr>
        <w:tc>
          <w:tcPr>
            <w:tcW w:type="dxa" w:w="4896"/>
            <w:tcBorders>
              <w:top w:val="single" w:sz="4" w:color="D9D9D9"/>
              <w:left w:val="single" w:sz="4" w:color="D9D9D9"/>
              <w:bottom w:val="single" w:sz="4" w:color="D9D9D9"/>
              <w:right w:val="single" w:sz="4" w:color="D9D9D9"/>
            </w:tcBorders>
            <w:shd w:fill="E7EDF3"/>
          </w:tcPr>
          <w:p>
            <w:pPr>
              <w:spacing w:after="100" w:before="100"/>
            </w:pPr>
            <w:r>
              <w:rPr>
                <w:b/>
                <w:sz w:val="20"/>
              </w:rPr>
              <w:t>Question</w:t>
            </w:r>
          </w:p>
        </w:tc>
        <w:tc>
          <w:tcPr>
            <w:tcW w:type="dxa" w:w="5040"/>
            <w:tcBorders>
              <w:top w:val="single" w:sz="4" w:color="D9D9D9"/>
              <w:left w:val="single" w:sz="4" w:color="D9D9D9"/>
              <w:bottom w:val="single" w:sz="4" w:color="D9D9D9"/>
              <w:right w:val="single" w:sz="4" w:color="D9D9D9"/>
            </w:tcBorders>
            <w:shd w:fill="E7EDF3"/>
          </w:tcPr>
          <w:p>
            <w:pPr>
              <w:spacing w:after="100" w:before="100"/>
            </w:pPr>
            <w:r>
              <w:rPr>
                <w:b/>
                <w:sz w:val="20"/>
              </w:rPr>
              <w:t>Planned output</w:t>
            </w:r>
          </w:p>
        </w:tc>
      </w:tr>
      <w:tr>
        <w:trPr>
          <w:cantSplit/>
        </w:trPr>
        <w:tc>
          <w:tcPr>
            <w:tcW w:type="dxa" w:w="4896"/>
            <w:tcBorders>
              <w:top w:val="single" w:sz="4" w:color="D9D9D9"/>
              <w:left w:val="single" w:sz="4" w:color="D9D9D9"/>
              <w:bottom w:val="single" w:sz="4" w:color="D9D9D9"/>
              <w:right w:val="single" w:sz="4" w:color="D9D9D9"/>
            </w:tcBorders>
          </w:tcPr>
          <w:p>
            <w:pPr>
              <w:spacing w:after="100" w:before="100"/>
            </w:pPr>
            <w:r>
              <w:rPr>
                <w:b w:val="0"/>
                <w:sz w:val="20"/>
              </w:rPr>
              <w:t>RQ1 What quality constructs do studies claim or imply?</w:t>
            </w:r>
          </w:p>
        </w:tc>
        <w:tc>
          <w:tcPr>
            <w:tcW w:type="dxa" w:w="5040"/>
            <w:tcBorders>
              <w:top w:val="single" w:sz="4" w:color="D9D9D9"/>
              <w:left w:val="single" w:sz="4" w:color="D9D9D9"/>
              <w:bottom w:val="single" w:sz="4" w:color="D9D9D9"/>
              <w:right w:val="single" w:sz="4" w:color="D9D9D9"/>
            </w:tcBorders>
          </w:tcPr>
          <w:p>
            <w:pPr>
              <w:spacing w:after="100" w:before="100"/>
            </w:pPr>
            <w:r>
              <w:rPr>
                <w:b w:val="0"/>
                <w:sz w:val="20"/>
              </w:rPr>
              <w:t>A taxonomy with explicit claims separated from reviewer-inferred constructs.</w:t>
            </w:r>
          </w:p>
        </w:tc>
      </w:tr>
      <w:tr>
        <w:trPr>
          <w:cantSplit/>
        </w:trPr>
        <w:tc>
          <w:tcPr>
            <w:tcW w:type="dxa" w:w="4896"/>
            <w:tcBorders>
              <w:top w:val="single" w:sz="4" w:color="D9D9D9"/>
              <w:left w:val="single" w:sz="4" w:color="D9D9D9"/>
              <w:bottom w:val="single" w:sz="4" w:color="D9D9D9"/>
              <w:right w:val="single" w:sz="4" w:color="D9D9D9"/>
            </w:tcBorders>
          </w:tcPr>
          <w:p>
            <w:pPr>
              <w:spacing w:after="100" w:before="100"/>
            </w:pPr>
            <w:r>
              <w:rPr>
                <w:b w:val="0"/>
                <w:sz w:val="20"/>
              </w:rPr>
              <w:t>RQ2 How are constructs measured?</w:t>
            </w:r>
          </w:p>
        </w:tc>
        <w:tc>
          <w:tcPr>
            <w:tcW w:type="dxa" w:w="5040"/>
            <w:tcBorders>
              <w:top w:val="single" w:sz="4" w:color="D9D9D9"/>
              <w:left w:val="single" w:sz="4" w:color="D9D9D9"/>
              <w:bottom w:val="single" w:sz="4" w:color="D9D9D9"/>
              <w:right w:val="single" w:sz="4" w:color="D9D9D9"/>
            </w:tcBorders>
          </w:tcPr>
          <w:p>
            <w:pPr>
              <w:spacing w:after="100" w:before="100"/>
            </w:pPr>
            <w:r>
              <w:rPr>
                <w:b w:val="0"/>
                <w:sz w:val="20"/>
              </w:rPr>
              <w:t>Metric definitions, scoring rules, aggregation and reference dependence.</w:t>
            </w:r>
          </w:p>
        </w:tc>
      </w:tr>
      <w:tr>
        <w:trPr>
          <w:cantSplit/>
        </w:trPr>
        <w:tc>
          <w:tcPr>
            <w:tcW w:type="dxa" w:w="4896"/>
            <w:tcBorders>
              <w:top w:val="single" w:sz="4" w:color="D9D9D9"/>
              <w:left w:val="single" w:sz="4" w:color="D9D9D9"/>
              <w:bottom w:val="single" w:sz="4" w:color="D9D9D9"/>
              <w:right w:val="single" w:sz="4" w:color="D9D9D9"/>
            </w:tcBorders>
          </w:tcPr>
          <w:p>
            <w:pPr>
              <w:spacing w:after="100" w:before="100"/>
            </w:pPr>
            <w:r>
              <w:rPr>
                <w:b w:val="0"/>
                <w:sz w:val="20"/>
              </w:rPr>
              <w:t>RQ3 What supports validity and reliability?</w:t>
            </w:r>
          </w:p>
        </w:tc>
        <w:tc>
          <w:tcPr>
            <w:tcW w:type="dxa" w:w="5040"/>
            <w:tcBorders>
              <w:top w:val="single" w:sz="4" w:color="D9D9D9"/>
              <w:left w:val="single" w:sz="4" w:color="D9D9D9"/>
              <w:bottom w:val="single" w:sz="4" w:color="D9D9D9"/>
              <w:right w:val="single" w:sz="4" w:color="D9D9D9"/>
            </w:tcBorders>
          </w:tcPr>
          <w:p>
            <w:pPr>
              <w:spacing w:after="100" w:before="100"/>
            </w:pPr>
            <w:r>
              <w:rPr>
                <w:b w:val="0"/>
                <w:sz w:val="20"/>
              </w:rPr>
              <w:t>Evidence profiles for each metric use and claim, including limits of validation.</w:t>
            </w:r>
          </w:p>
        </w:tc>
      </w:tr>
      <w:tr>
        <w:trPr>
          <w:cantSplit/>
        </w:trPr>
        <w:tc>
          <w:tcPr>
            <w:tcW w:type="dxa" w:w="4896"/>
            <w:tcBorders>
              <w:top w:val="single" w:sz="4" w:color="D9D9D9"/>
              <w:left w:val="single" w:sz="4" w:color="D9D9D9"/>
              <w:bottom w:val="single" w:sz="4" w:color="D9D9D9"/>
              <w:right w:val="single" w:sz="4" w:color="D9D9D9"/>
            </w:tcBorders>
          </w:tcPr>
          <w:p>
            <w:pPr>
              <w:spacing w:after="100" w:before="100"/>
            </w:pPr>
            <w:r>
              <w:rPr>
                <w:b w:val="0"/>
                <w:sz w:val="20"/>
              </w:rPr>
              <w:t>RQ4 Which quality dimensions are underrepresented?</w:t>
            </w:r>
          </w:p>
        </w:tc>
        <w:tc>
          <w:tcPr>
            <w:tcW w:type="dxa" w:w="5040"/>
            <w:tcBorders>
              <w:top w:val="single" w:sz="4" w:color="D9D9D9"/>
              <w:left w:val="single" w:sz="4" w:color="D9D9D9"/>
              <w:bottom w:val="single" w:sz="4" w:color="D9D9D9"/>
              <w:right w:val="single" w:sz="4" w:color="D9D9D9"/>
            </w:tcBorders>
          </w:tcPr>
          <w:p>
            <w:pPr>
              <w:spacing w:after="100" w:before="100"/>
            </w:pPr>
            <w:r>
              <w:rPr>
                <w:b w:val="0"/>
                <w:sz w:val="20"/>
              </w:rPr>
              <w:t>Task-stratified coverage map with applicability and reporting status.</w:t>
            </w:r>
          </w:p>
        </w:tc>
      </w:tr>
      <w:tr>
        <w:trPr>
          <w:cantSplit/>
        </w:trPr>
        <w:tc>
          <w:tcPr>
            <w:tcW w:type="dxa" w:w="4896"/>
            <w:tcBorders>
              <w:top w:val="single" w:sz="4" w:color="D9D9D9"/>
              <w:left w:val="single" w:sz="4" w:color="D9D9D9"/>
              <w:bottom w:val="single" w:sz="4" w:color="D9D9D9"/>
              <w:right w:val="single" w:sz="4" w:color="D9D9D9"/>
            </w:tcBorders>
          </w:tcPr>
          <w:p>
            <w:pPr>
              <w:spacing w:after="100" w:before="100"/>
            </w:pPr>
            <w:r>
              <w:rPr>
                <w:b w:val="0"/>
                <w:sz w:val="20"/>
              </w:rPr>
              <w:t>RQ5 How comparable and reproducible are results?</w:t>
            </w:r>
          </w:p>
        </w:tc>
        <w:tc>
          <w:tcPr>
            <w:tcW w:type="dxa" w:w="5040"/>
            <w:tcBorders>
              <w:top w:val="single" w:sz="4" w:color="D9D9D9"/>
              <w:left w:val="single" w:sz="4" w:color="D9D9D9"/>
              <w:bottom w:val="single" w:sz="4" w:color="D9D9D9"/>
              <w:right w:val="single" w:sz="4" w:color="D9D9D9"/>
            </w:tcBorders>
          </w:tcPr>
          <w:p>
            <w:pPr>
              <w:spacing w:after="100" w:before="100"/>
            </w:pPr>
            <w:r>
              <w:rPr>
                <w:b w:val="0"/>
                <w:sz w:val="20"/>
              </w:rPr>
              <w:t>Environment, artifact and metric-implementation comparison.</w:t>
            </w:r>
          </w:p>
        </w:tc>
      </w:tr>
    </w:tbl>
    <w:p>
      <w:pPr>
        <w:pStyle w:val="Heading1"/>
      </w:pPr>
      <w:r>
        <w:t>Reporting basis</w:t>
      </w:r>
    </w:p>
    <w:p>
      <w:r>
        <w:t>PRISMA-P will inform protocol reporting [1]; PRISMA 2020 will inform final reporting and record flow [2]. These are reporting guides, not substitutes for an empirical software-engineering review method. Clinical-only items will be marked not applicable with reasons.</w:t>
      </w:r>
    </w:p>
    <w:p>
      <w:pPr>
        <w:pStyle w:val="Heading1"/>
      </w:pPr>
      <w:r>
        <w:t>Eligibility and operational definitions</w:t>
      </w:r>
    </w:p>
    <w:p>
      <w:r>
        <w:t>Proposed coverage: first public reports from 1 January 2023 through 12 September 2026, with an updated search before submission. The window focuses on contemporary visual code generation; older work is background. English full texts are eligible, and this language restriction will be reported. Peer-reviewed reports and substantive preprints are included and analyzed separately.</w:t>
      </w:r>
    </w:p>
    <w:tbl>
      <w:tblPr>
        <w:tblW w:type="auto" w:w="0"/>
        <w:tblLayout w:type="fixed"/>
        <w:tblLook w:firstColumn="1" w:firstRow="1" w:lastColumn="0" w:lastRow="0" w:noHBand="0" w:noVBand="1" w:val="04A0"/>
      </w:tblPr>
      <w:tblGrid>
        <w:gridCol w:w="2304"/>
        <w:gridCol w:w="7632"/>
      </w:tblGrid>
      <w:tr>
        <w:trPr>
          <w:cantSplit/>
          <w:tblHeader/>
        </w:trPr>
        <w:tc>
          <w:tcPr>
            <w:tcW w:type="dxa" w:w="2304"/>
            <w:tcBorders>
              <w:top w:val="single" w:sz="4" w:color="D9D9D9"/>
              <w:left w:val="single" w:sz="4" w:color="D9D9D9"/>
              <w:bottom w:val="single" w:sz="4" w:color="D9D9D9"/>
              <w:right w:val="single" w:sz="4" w:color="D9D9D9"/>
            </w:tcBorders>
            <w:shd w:fill="E7EDF3"/>
          </w:tcPr>
          <w:p>
            <w:pPr>
              <w:spacing w:after="100" w:before="100"/>
            </w:pPr>
            <w:r>
              <w:rPr>
                <w:b/>
                <w:sz w:val="20"/>
              </w:rPr>
              <w:t>Term</w:t>
            </w:r>
          </w:p>
        </w:tc>
        <w:tc>
          <w:tcPr>
            <w:tcW w:type="dxa" w:w="7632"/>
            <w:tcBorders>
              <w:top w:val="single" w:sz="4" w:color="D9D9D9"/>
              <w:left w:val="single" w:sz="4" w:color="D9D9D9"/>
              <w:bottom w:val="single" w:sz="4" w:color="D9D9D9"/>
              <w:right w:val="single" w:sz="4" w:color="D9D9D9"/>
            </w:tcBorders>
            <w:shd w:fill="E7EDF3"/>
          </w:tcPr>
          <w:p>
            <w:pPr>
              <w:spacing w:after="100" w:before="100"/>
            </w:pPr>
            <w:r>
              <w:rPr>
                <w:b/>
                <w:sz w:val="20"/>
              </w:rPr>
              <w:t>Operational definition</w:t>
            </w:r>
          </w:p>
        </w:tc>
      </w:tr>
      <w:tr>
        <w:trPr>
          <w:cantSplit/>
        </w:trPr>
        <w:tc>
          <w:tcPr>
            <w:tcW w:type="dxa" w:w="2304"/>
            <w:tcBorders>
              <w:top w:val="single" w:sz="4" w:color="D9D9D9"/>
              <w:left w:val="single" w:sz="4" w:color="D9D9D9"/>
              <w:bottom w:val="single" w:sz="4" w:color="D9D9D9"/>
              <w:right w:val="single" w:sz="4" w:color="D9D9D9"/>
            </w:tcBorders>
          </w:tcPr>
          <w:p>
            <w:pPr>
              <w:spacing w:after="100" w:before="100"/>
            </w:pPr>
            <w:r>
              <w:rPr>
                <w:b w:val="0"/>
                <w:sz w:val="20"/>
              </w:rPr>
              <w:t>Visual specification</w:t>
            </w:r>
          </w:p>
        </w:tc>
        <w:tc>
          <w:tcPr>
            <w:tcW w:type="dxa" w:w="7632"/>
            <w:tcBorders>
              <w:top w:val="single" w:sz="4" w:color="D9D9D9"/>
              <w:left w:val="single" w:sz="4" w:color="D9D9D9"/>
              <w:bottom w:val="single" w:sz="4" w:color="D9D9D9"/>
              <w:right w:val="single" w:sz="4" w:color="D9D9D9"/>
            </w:tcBorders>
          </w:tcPr>
          <w:p>
            <w:pPr>
              <w:spacing w:after="100" w:before="100"/>
            </w:pPr>
            <w:r>
              <w:rPr>
                <w:b w:val="0"/>
                <w:sz w:val="20"/>
              </w:rPr>
              <w:t>A screenshot, sketch, mockup, design metadata, prototype or interaction recording that constrains the target interface.</w:t>
            </w:r>
          </w:p>
        </w:tc>
      </w:tr>
      <w:tr>
        <w:trPr>
          <w:cantSplit/>
        </w:trPr>
        <w:tc>
          <w:tcPr>
            <w:tcW w:type="dxa" w:w="2304"/>
            <w:tcBorders>
              <w:top w:val="single" w:sz="4" w:color="D9D9D9"/>
              <w:left w:val="single" w:sz="4" w:color="D9D9D9"/>
              <w:bottom w:val="single" w:sz="4" w:color="D9D9D9"/>
              <w:right w:val="single" w:sz="4" w:color="D9D9D9"/>
            </w:tcBorders>
          </w:tcPr>
          <w:p>
            <w:pPr>
              <w:spacing w:after="100" w:before="100"/>
            </w:pPr>
            <w:r>
              <w:rPr>
                <w:b w:val="0"/>
                <w:sz w:val="20"/>
              </w:rPr>
              <w:t>Web code artifact</w:t>
            </w:r>
          </w:p>
        </w:tc>
        <w:tc>
          <w:tcPr>
            <w:tcW w:type="dxa" w:w="7632"/>
            <w:tcBorders>
              <w:top w:val="single" w:sz="4" w:color="D9D9D9"/>
              <w:left w:val="single" w:sz="4" w:color="D9D9D9"/>
              <w:bottom w:val="single" w:sz="4" w:color="D9D9D9"/>
              <w:right w:val="single" w:sz="4" w:color="D9D9D9"/>
            </w:tcBorders>
          </w:tcPr>
          <w:p>
            <w:pPr>
              <w:spacing w:after="100" w:before="100"/>
            </w:pPr>
            <w:r>
              <w:rPr>
                <w:b w:val="0"/>
                <w:sz w:val="20"/>
              </w:rPr>
              <w:t>HTML/CSS/JavaScript or framework code intended to run in a browser. Failed builds remain eligible evaluation outcomes.</w:t>
            </w:r>
          </w:p>
        </w:tc>
      </w:tr>
      <w:tr>
        <w:trPr>
          <w:cantSplit/>
        </w:trPr>
        <w:tc>
          <w:tcPr>
            <w:tcW w:type="dxa" w:w="2304"/>
            <w:tcBorders>
              <w:top w:val="single" w:sz="4" w:color="D9D9D9"/>
              <w:left w:val="single" w:sz="4" w:color="D9D9D9"/>
              <w:bottom w:val="single" w:sz="4" w:color="D9D9D9"/>
              <w:right w:val="single" w:sz="4" w:color="D9D9D9"/>
            </w:tcBorders>
          </w:tcPr>
          <w:p>
            <w:pPr>
              <w:spacing w:after="100" w:before="100"/>
            </w:pPr>
            <w:r>
              <w:rPr>
                <w:b w:val="0"/>
                <w:sz w:val="20"/>
              </w:rPr>
              <w:t>Metric use</w:t>
            </w:r>
          </w:p>
        </w:tc>
        <w:tc>
          <w:tcPr>
            <w:tcW w:type="dxa" w:w="7632"/>
            <w:tcBorders>
              <w:top w:val="single" w:sz="4" w:color="D9D9D9"/>
              <w:left w:val="single" w:sz="4" w:color="D9D9D9"/>
              <w:bottom w:val="single" w:sz="4" w:color="D9D9D9"/>
              <w:right w:val="single" w:sz="4" w:color="D9D9D9"/>
            </w:tcBorders>
          </w:tcPr>
          <w:p>
            <w:pPr>
              <w:spacing w:after="100" w:before="100"/>
            </w:pPr>
            <w:r>
              <w:rPr>
                <w:b w:val="0"/>
                <w:sz w:val="20"/>
              </w:rPr>
              <w:t>One instrument, scoring protocol, construct claim and task setting within a study. Reused instruments share a metric-family identifier.</w:t>
            </w:r>
          </w:p>
        </w:tc>
      </w:tr>
      <w:tr>
        <w:trPr>
          <w:cantSplit/>
        </w:trPr>
        <w:tc>
          <w:tcPr>
            <w:tcW w:type="dxa" w:w="2304"/>
            <w:tcBorders>
              <w:top w:val="single" w:sz="4" w:color="D9D9D9"/>
              <w:left w:val="single" w:sz="4" w:color="D9D9D9"/>
              <w:bottom w:val="single" w:sz="4" w:color="D9D9D9"/>
              <w:right w:val="single" w:sz="4" w:color="D9D9D9"/>
            </w:tcBorders>
          </w:tcPr>
          <w:p>
            <w:pPr>
              <w:spacing w:after="100" w:before="100"/>
            </w:pPr>
            <w:r>
              <w:rPr>
                <w:b w:val="0"/>
                <w:sz w:val="20"/>
              </w:rPr>
              <w:t>Construct validity</w:t>
            </w:r>
          </w:p>
        </w:tc>
        <w:tc>
          <w:tcPr>
            <w:tcW w:type="dxa" w:w="7632"/>
            <w:tcBorders>
              <w:top w:val="single" w:sz="4" w:color="D9D9D9"/>
              <w:left w:val="single" w:sz="4" w:color="D9D9D9"/>
              <w:bottom w:val="single" w:sz="4" w:color="D9D9D9"/>
              <w:right w:val="single" w:sz="4" w:color="D9D9D9"/>
            </w:tcBorders>
          </w:tcPr>
          <w:p>
            <w:pPr>
              <w:spacing w:after="100" w:before="100"/>
            </w:pPr>
            <w:r>
              <w:rPr>
                <w:b w:val="0"/>
                <w:sz w:val="20"/>
              </w:rPr>
              <w:t>Whether the evidence supports the interpretation assigned to the measurement for the stated claim.</w:t>
            </w:r>
          </w:p>
        </w:tc>
      </w:tr>
      <w:tr>
        <w:trPr>
          <w:cantSplit/>
        </w:trPr>
        <w:tc>
          <w:tcPr>
            <w:tcW w:type="dxa" w:w="2304"/>
            <w:tcBorders>
              <w:top w:val="single" w:sz="4" w:color="D9D9D9"/>
              <w:left w:val="single" w:sz="4" w:color="D9D9D9"/>
              <w:bottom w:val="single" w:sz="4" w:color="D9D9D9"/>
              <w:right w:val="single" w:sz="4" w:color="D9D9D9"/>
            </w:tcBorders>
          </w:tcPr>
          <w:p>
            <w:pPr>
              <w:spacing w:after="100" w:before="100"/>
            </w:pPr>
            <w:r>
              <w:rPr>
                <w:b w:val="0"/>
                <w:sz w:val="20"/>
              </w:rPr>
              <w:t>Reliability</w:t>
            </w:r>
          </w:p>
        </w:tc>
        <w:tc>
          <w:tcPr>
            <w:tcW w:type="dxa" w:w="7632"/>
            <w:tcBorders>
              <w:top w:val="single" w:sz="4" w:color="D9D9D9"/>
              <w:left w:val="single" w:sz="4" w:color="D9D9D9"/>
              <w:bottom w:val="single" w:sz="4" w:color="D9D9D9"/>
              <w:right w:val="single" w:sz="4" w:color="D9D9D9"/>
            </w:tcBorders>
          </w:tcPr>
          <w:p>
            <w:pPr>
              <w:spacing w:after="100" w:before="100"/>
            </w:pPr>
            <w:r>
              <w:rPr>
                <w:b w:val="0"/>
                <w:sz w:val="20"/>
              </w:rPr>
              <w:t>Consistency across raters, repeated runs, judges or conditions, considered separately from validity.</w:t>
            </w:r>
          </w:p>
        </w:tc>
      </w:tr>
      <w:tr>
        <w:trPr>
          <w:cantSplit/>
        </w:trPr>
        <w:tc>
          <w:tcPr>
            <w:tcW w:type="dxa" w:w="2304"/>
            <w:tcBorders>
              <w:top w:val="single" w:sz="4" w:color="D9D9D9"/>
              <w:left w:val="single" w:sz="4" w:color="D9D9D9"/>
              <w:bottom w:val="single" w:sz="4" w:color="D9D9D9"/>
              <w:right w:val="single" w:sz="4" w:color="D9D9D9"/>
            </w:tcBorders>
          </w:tcPr>
          <w:p>
            <w:pPr>
              <w:spacing w:after="100" w:before="100"/>
            </w:pPr>
            <w:r>
              <w:rPr>
                <w:b w:val="0"/>
                <w:sz w:val="20"/>
              </w:rPr>
              <w:t>Production quality</w:t>
            </w:r>
          </w:p>
        </w:tc>
        <w:tc>
          <w:tcPr>
            <w:tcW w:type="dxa" w:w="7632"/>
            <w:tcBorders>
              <w:top w:val="single" w:sz="4" w:color="D9D9D9"/>
              <w:left w:val="single" w:sz="4" w:color="D9D9D9"/>
              <w:bottom w:val="single" w:sz="4" w:color="D9D9D9"/>
              <w:right w:val="single" w:sz="4" w:color="D9D9D9"/>
            </w:tcBorders>
          </w:tcPr>
          <w:p>
            <w:pPr>
              <w:spacing w:after="100" w:before="100"/>
            </w:pPr>
            <w:r>
              <w:rPr>
                <w:b w:val="0"/>
                <w:sz w:val="20"/>
              </w:rPr>
              <w:t>An analytical umbrella for specified functionality, user-facing, engineering and deployment properties; not a single binary outcome.</w:t>
            </w:r>
          </w:p>
        </w:tc>
      </w:tr>
    </w:tbl>
    <w:p>
      <w:pPr>
        <w:pStyle w:val="Heading1"/>
      </w:pPr>
      <w:r>
        <w:t>Full text decision rules</w:t>
      </w:r>
    </w:p>
    <w:p>
      <w:r>
        <w:t>Include only when all conditions hold: the study concerns AI-assisted generation, reconstruction, editing or repair of a web artifact; a visual specification or rendered visual feedback is part of the task; and at least one automatic, human or model-based evaluation of generated or repaired artifacts is reported. Mixed-domain studies qualify only when web results can be extracted separately.</w:t>
      </w:r>
    </w:p>
    <w:p>
      <w:r>
        <w:t>Visual feedback repair studies form a separate stratum from reference-design reconstruction. Pure text-to-website studies, UI understanding without code generation, mobile-only output and backend-only tasks are excluded. Training datasets or toolkits qualify only if the report evaluates eligible generated artifacts. Reviews are retained in a competing-review register, not the primary-study denominator.</w:t>
      </w:r>
    </w:p>
    <w:p>
      <w:pPr>
        <w:pStyle w:val="Heading1"/>
      </w:pPr>
      <w:r>
        <w:t>Exclusion codes in decision order</w:t>
      </w:r>
    </w:p>
    <w:p>
      <w:r>
        <w:t>E1 Outside date window; E2 No accessible English full report; E3 Secondary report without primary evaluation; E4 No separable web-code results; E5 No visual specification or visual-feedback task; E6 No eligible generation or repair task; E7 No evaluation of generated artifacts. Record the first decisive reason and its page or section. Duplicate reports are linked before eligibility screening rather than coded as substantive exclusions.</w:t>
      </w:r>
    </w:p>
    <w:p>
      <w:r>
        <w:t>A report that cannot be retrieved is logged as not retrieved, not assumed ineligible. At title/abstract stage, uncertainty advances to full text. Record all failed conditions, but use one primary reason for final flow counts.</w:t>
      </w:r>
    </w:p>
    <w:p>
      <w:pPr>
        <w:pStyle w:val="Heading1"/>
      </w:pPr>
      <w:r>
        <w:t>Search strategy and study identification</w:t>
      </w:r>
    </w:p>
    <w:p>
      <w:r>
        <w:t>Planned sources are Scopus, Web of Science Core Collection, ACM Digital Library and IEEE Xplore. ScienceDirect and SpringerLink provide supplementary searches; arXiv captures eligible preprints. Availability and institutional access are not yet confirmed. A missing source will be disclosed rather than silently replaced with general web search.</w:t>
      </w:r>
    </w:p>
    <w:p>
      <w:pPr>
        <w:pStyle w:val="Heading1"/>
      </w:pPr>
      <w:r>
        <w:t>Search concepts</w:t>
      </w:r>
    </w:p>
    <w:p>
      <w:r>
        <w:t>Use two complementary query families. Search A captures named tasks without an evaluation filter. Search B combines visual input, web output and AI concepts. Avoid a mandatory validity or accessibility term: it would preferentially retrieve studies already addressing the proposed gap.</w:t>
      </w:r>
    </w:p>
    <w:tbl>
      <w:tblPr>
        <w:tblW w:type="auto" w:w="0"/>
        <w:tblLayout w:type="fixed"/>
        <w:tblLook w:firstColumn="1" w:firstRow="1" w:lastColumn="0" w:lastRow="0" w:noHBand="0" w:noVBand="1" w:val="04A0"/>
      </w:tblPr>
      <w:tblGrid>
        <w:gridCol w:w="1944"/>
        <w:gridCol w:w="7992"/>
      </w:tblGrid>
      <w:tr>
        <w:trPr>
          <w:cantSplit/>
          <w:tblHeader/>
        </w:trPr>
        <w:tc>
          <w:tcPr>
            <w:tcW w:type="dxa" w:w="1944"/>
            <w:tcBorders>
              <w:top w:val="single" w:sz="4" w:color="D9D9D9"/>
              <w:left w:val="single" w:sz="4" w:color="D9D9D9"/>
              <w:bottom w:val="single" w:sz="4" w:color="D9D9D9"/>
              <w:right w:val="single" w:sz="4" w:color="D9D9D9"/>
            </w:tcBorders>
            <w:shd w:fill="E7EDF3"/>
          </w:tcPr>
          <w:p>
            <w:pPr>
              <w:spacing w:after="100" w:before="100"/>
            </w:pPr>
            <w:r>
              <w:rPr>
                <w:b/>
                <w:sz w:val="20"/>
              </w:rPr>
              <w:t>Block</w:t>
            </w:r>
          </w:p>
        </w:tc>
        <w:tc>
          <w:tcPr>
            <w:tcW w:type="dxa" w:w="7992"/>
            <w:tcBorders>
              <w:top w:val="single" w:sz="4" w:color="D9D9D9"/>
              <w:left w:val="single" w:sz="4" w:color="D9D9D9"/>
              <w:bottom w:val="single" w:sz="4" w:color="D9D9D9"/>
              <w:right w:val="single" w:sz="4" w:color="D9D9D9"/>
            </w:tcBorders>
            <w:shd w:fill="E7EDF3"/>
          </w:tcPr>
          <w:p>
            <w:pPr>
              <w:spacing w:after="100" w:before="100"/>
            </w:pPr>
            <w:r>
              <w:rPr>
                <w:b/>
                <w:sz w:val="20"/>
              </w:rPr>
              <w:t>Search terms</w:t>
            </w:r>
          </w:p>
        </w:tc>
      </w:tr>
      <w:tr>
        <w:trPr>
          <w:cantSplit/>
        </w:trPr>
        <w:tc>
          <w:tcPr>
            <w:tcW w:type="dxa" w:w="1944"/>
            <w:tcBorders>
              <w:top w:val="single" w:sz="4" w:color="D9D9D9"/>
              <w:left w:val="single" w:sz="4" w:color="D9D9D9"/>
              <w:bottom w:val="single" w:sz="4" w:color="D9D9D9"/>
              <w:right w:val="single" w:sz="4" w:color="D9D9D9"/>
            </w:tcBorders>
          </w:tcPr>
          <w:p>
            <w:pPr>
              <w:spacing w:after="100" w:before="100"/>
            </w:pPr>
            <w:r>
              <w:rPr>
                <w:b w:val="0"/>
                <w:sz w:val="20"/>
              </w:rPr>
              <w:t>A Named tasks</w:t>
            </w:r>
          </w:p>
        </w:tc>
        <w:tc>
          <w:tcPr>
            <w:tcW w:type="dxa" w:w="7992"/>
            <w:tcBorders>
              <w:top w:val="single" w:sz="4" w:color="D9D9D9"/>
              <w:left w:val="single" w:sz="4" w:color="D9D9D9"/>
              <w:bottom w:val="single" w:sz="4" w:color="D9D9D9"/>
              <w:right w:val="single" w:sz="4" w:color="D9D9D9"/>
            </w:tcBorders>
          </w:tcPr>
          <w:p>
            <w:pPr>
              <w:spacing w:after="100" w:before="100"/>
            </w:pPr>
            <w:r>
              <w:rPr>
                <w:b w:val="0"/>
                <w:sz w:val="20"/>
              </w:rPr>
              <w:t>"screenshot-to-code" OR "design-to-code" OR "UI-to-code" OR "image-to-web" OR "image-to-HTML" OR "Figma-to-code" OR "sketch-to-code" OR "webpage reconstruction"</w:t>
            </w:r>
          </w:p>
        </w:tc>
      </w:tr>
      <w:tr>
        <w:trPr>
          <w:cantSplit/>
        </w:trPr>
        <w:tc>
          <w:tcPr>
            <w:tcW w:type="dxa" w:w="1944"/>
            <w:tcBorders>
              <w:top w:val="single" w:sz="4" w:color="D9D9D9"/>
              <w:left w:val="single" w:sz="4" w:color="D9D9D9"/>
              <w:bottom w:val="single" w:sz="4" w:color="D9D9D9"/>
              <w:right w:val="single" w:sz="4" w:color="D9D9D9"/>
            </w:tcBorders>
          </w:tcPr>
          <w:p>
            <w:pPr>
              <w:spacing w:after="100" w:before="100"/>
            </w:pPr>
            <w:r>
              <w:rPr>
                <w:b w:val="0"/>
                <w:sz w:val="20"/>
              </w:rPr>
              <w:t>B1 Visual input</w:t>
            </w:r>
          </w:p>
        </w:tc>
        <w:tc>
          <w:tcPr>
            <w:tcW w:type="dxa" w:w="7992"/>
            <w:tcBorders>
              <w:top w:val="single" w:sz="4" w:color="D9D9D9"/>
              <w:left w:val="single" w:sz="4" w:color="D9D9D9"/>
              <w:bottom w:val="single" w:sz="4" w:color="D9D9D9"/>
              <w:right w:val="single" w:sz="4" w:color="D9D9D9"/>
            </w:tcBorders>
          </w:tcPr>
          <w:p>
            <w:pPr>
              <w:spacing w:after="100" w:before="100"/>
            </w:pPr>
            <w:r>
              <w:rPr>
                <w:b w:val="0"/>
                <w:sz w:val="20"/>
              </w:rPr>
              <w:t>screenshot* OR mockup* OR sketch* OR figma OR prototype* OR "visual design" OR "visual feedback" OR "interaction video"</w:t>
            </w:r>
          </w:p>
        </w:tc>
      </w:tr>
      <w:tr>
        <w:trPr>
          <w:cantSplit/>
        </w:trPr>
        <w:tc>
          <w:tcPr>
            <w:tcW w:type="dxa" w:w="1944"/>
            <w:tcBorders>
              <w:top w:val="single" w:sz="4" w:color="D9D9D9"/>
              <w:left w:val="single" w:sz="4" w:color="D9D9D9"/>
              <w:bottom w:val="single" w:sz="4" w:color="D9D9D9"/>
              <w:right w:val="single" w:sz="4" w:color="D9D9D9"/>
            </w:tcBorders>
          </w:tcPr>
          <w:p>
            <w:pPr>
              <w:spacing w:after="100" w:before="100"/>
            </w:pPr>
            <w:r>
              <w:rPr>
                <w:b w:val="0"/>
                <w:sz w:val="20"/>
              </w:rPr>
              <w:t>B2 Web output</w:t>
            </w:r>
          </w:p>
        </w:tc>
        <w:tc>
          <w:tcPr>
            <w:tcW w:type="dxa" w:w="7992"/>
            <w:tcBorders>
              <w:top w:val="single" w:sz="4" w:color="D9D9D9"/>
              <w:left w:val="single" w:sz="4" w:color="D9D9D9"/>
              <w:bottom w:val="single" w:sz="4" w:color="D9D9D9"/>
              <w:right w:val="single" w:sz="4" w:color="D9D9D9"/>
            </w:tcBorders>
          </w:tcPr>
          <w:p>
            <w:pPr>
              <w:spacing w:after="100" w:before="100"/>
            </w:pPr>
            <w:r>
              <w:rPr>
                <w:b w:val="0"/>
                <w:sz w:val="20"/>
              </w:rPr>
              <w:t>"code generation" OR "web generation" OR "webpage generation" OR "front-end" OR frontend OR HTML OR React OR Vue OR Angular</w:t>
            </w:r>
          </w:p>
        </w:tc>
      </w:tr>
      <w:tr>
        <w:trPr>
          <w:cantSplit/>
        </w:trPr>
        <w:tc>
          <w:tcPr>
            <w:tcW w:type="dxa" w:w="1944"/>
            <w:tcBorders>
              <w:top w:val="single" w:sz="4" w:color="D9D9D9"/>
              <w:left w:val="single" w:sz="4" w:color="D9D9D9"/>
              <w:bottom w:val="single" w:sz="4" w:color="D9D9D9"/>
              <w:right w:val="single" w:sz="4" w:color="D9D9D9"/>
            </w:tcBorders>
          </w:tcPr>
          <w:p>
            <w:pPr>
              <w:spacing w:after="100" w:before="100"/>
            </w:pPr>
            <w:r>
              <w:rPr>
                <w:b w:val="0"/>
                <w:sz w:val="20"/>
              </w:rPr>
              <w:t>B3 AI method</w:t>
            </w:r>
          </w:p>
        </w:tc>
        <w:tc>
          <w:tcPr>
            <w:tcW w:type="dxa" w:w="7992"/>
            <w:tcBorders>
              <w:top w:val="single" w:sz="4" w:color="D9D9D9"/>
              <w:left w:val="single" w:sz="4" w:color="D9D9D9"/>
              <w:bottom w:val="single" w:sz="4" w:color="D9D9D9"/>
              <w:right w:val="single" w:sz="4" w:color="D9D9D9"/>
            </w:tcBorders>
          </w:tcPr>
          <w:p>
            <w:pPr>
              <w:spacing w:after="100" w:before="100"/>
            </w:pPr>
            <w:r>
              <w:rPr>
                <w:b w:val="0"/>
                <w:sz w:val="20"/>
              </w:rPr>
              <w:t>"large language model" OR LLM OR MLLM OR VLM OR multimodal OR "generative AI" OR "deep learning"</w:t>
            </w:r>
          </w:p>
        </w:tc>
      </w:tr>
    </w:tbl>
    <w:p>
      <w:r>
        <w:t>Logical query: A OR (B1 AND B2 AND B3). Run A and B separately if database limits require it, then merge with provenance retained. Add unhyphenated variants and alternative spellings during calibration. These are draft query specifications, not completed database searches.</w:t>
      </w:r>
    </w:p>
    <w:p>
      <w:pPr>
        <w:pStyle w:val="Heading1"/>
      </w:pPr>
      <w:r>
        <w:t>Database translations to validate</w:t>
      </w:r>
    </w:p>
    <w:p>
      <w:r>
        <w:t>Scopus: apply TITLE-ABS-KEY to A and B; filter publication years 2023 through 2026, then screen the exact cutoff manually. Web of Science: apply TS to A and B and the same year range. ACM and IEEE: use title/abstract/keyword or metadata fields and capture the actual interface-generated query. ScienceDirect and SpringerLink: split long expressions into logged concept-pair queries. arXiv: apply title/abstract searches, retain versions and submission dates. Do not report draft wrappers as tested syntax.</w:t>
      </w:r>
    </w:p>
    <w:p>
      <w:pPr>
        <w:pStyle w:val="Heading1"/>
      </w:pPr>
      <w:r>
        <w:t>Recall testing and snowballing</w:t>
      </w:r>
    </w:p>
    <w:p>
      <w:r>
        <w:t>Before freezing the queries, test retrieval of verified seed reports spanning static generation, interaction, frameworks and repair. Suggested seeds are Design2Code, IW-Bench, Sketch2Code, Interaction2Code, DesignBench and DesignRepair; first recheck their identifiers and eligibility. Record eligible indexed seeds retrieved divided by eligible indexed seeds tested. Investigate every miss; amend terminology or document the indexing limitation.</w:t>
      </w:r>
    </w:p>
    <w:p>
      <w:r>
        <w:t>Inspect references and citing papers for every included study and relevant review. Log the source, direction, discovery date and new identifiers. Repeat until a complete round adds no eligible unique studies. Record inaccessible citation indexes. Save exact query, platform, fields, filters, timestamp, displayed count, exported count, file name and any export limit for every search.</w:t>
      </w:r>
    </w:p>
    <w:p>
      <w:pPr>
        <w:pStyle w:val="Heading1"/>
      </w:pPr>
      <w:r>
        <w:t>Screening and reviewer procedures</w:t>
      </w:r>
    </w:p>
    <w:p>
      <w:pPr>
        <w:pStyle w:val="Heading1"/>
      </w:pPr>
      <w:r>
        <w:t>Record management</w:t>
      </w:r>
    </w:p>
    <w:p>
      <w:r>
        <w:t>Assign RecordID to each search hit, ReportID to each unique document, and StudyID to linked reports of one investigation. Normalize DOI and arXiv identifiers; use normalized title, authors and year to flag possible duplicates for manual checking. Preserve all source memberships and original exports. Link preprint and venue versions; prefer the authoritative published report while retaining supplementary evidence and recording changes.</w:t>
      </w:r>
    </w:p>
    <w:p>
      <w:r>
        <w:t>Count multiple reports of one study once in study-level summaries. Distinct investigations sharing a benchmark remain separate studies but are grouped by benchmark family in sensitivity analysis. Record first-public and publication dates separately; do not move a study across the date window solely because a later version appeared.</w:t>
      </w:r>
    </w:p>
    <w:p>
      <w:pPr>
        <w:pStyle w:val="Heading1"/>
      </w:pPr>
      <w:r>
        <w:t>Pilot and independent review</w:t>
      </w:r>
    </w:p>
    <w:p>
      <w:r>
        <w:t>Proposed procedure: two human reviewers independently screen a 30-record title/abstract pilot and a 10-report full-text pilot, or all available records if fewer. Use a reproducible random selection plus clearly identified boundary cases. Compare decisions only after both finish; revise ambiguous rules and recode affected pilot items.</w:t>
      </w:r>
    </w:p>
    <w:p>
      <w:r>
        <w:t>For the formal corpus, use independent dual screening and extraction by one reviewer with source-level verification by another. Independently double-code at least 20% of included studies, with a minimum of 10 or all if fewer. Select across task and publication strata. Resolve disagreements by discussion, with a third reviewer if available; unresolved records remain pending.</w:t>
      </w:r>
    </w:p>
    <w:p>
      <w:r>
        <w:t>Report agreement before consensus, decision counts, raw percentage agreement and Cohen’s kappa for nominal decisions where calculable. Report category prevalence and explain unstable or undefined estimates. A target of 80% raw pilot agreement is a project calibration rule, not proof of validity. AI outputs do not count as an independent human reviewer or independent human agreement.</w:t>
      </w:r>
    </w:p>
    <w:p>
      <w:pPr>
        <w:pStyle w:val="Heading1"/>
      </w:pPr>
      <w:r>
        <w:t>Screening form</w:t>
      </w:r>
    </w:p>
    <w:tbl>
      <w:tblPr>
        <w:tblW w:type="auto" w:w="0"/>
        <w:tblLayout w:type="fixed"/>
        <w:tblLook w:firstColumn="1" w:firstRow="1" w:lastColumn="0" w:lastRow="0" w:noHBand="0" w:noVBand="1" w:val="04A0"/>
      </w:tblPr>
      <w:tblGrid>
        <w:gridCol w:w="2304"/>
        <w:gridCol w:w="7632"/>
      </w:tblGrid>
      <w:tr>
        <w:trPr>
          <w:cantSplit/>
          <w:tblHeader/>
        </w:trPr>
        <w:tc>
          <w:tcPr>
            <w:tcW w:type="dxa" w:w="2304"/>
            <w:tcBorders>
              <w:top w:val="single" w:sz="4" w:color="D9D9D9"/>
              <w:left w:val="single" w:sz="4" w:color="D9D9D9"/>
              <w:bottom w:val="single" w:sz="4" w:color="D9D9D9"/>
              <w:right w:val="single" w:sz="4" w:color="D9D9D9"/>
            </w:tcBorders>
            <w:shd w:fill="E7EDF3"/>
          </w:tcPr>
          <w:p>
            <w:pPr>
              <w:spacing w:after="100" w:before="100"/>
            </w:pPr>
            <w:r>
              <w:rPr>
                <w:b/>
                <w:sz w:val="20"/>
              </w:rPr>
              <w:t>Field</w:t>
            </w:r>
          </w:p>
        </w:tc>
        <w:tc>
          <w:tcPr>
            <w:tcW w:type="dxa" w:w="7632"/>
            <w:tcBorders>
              <w:top w:val="single" w:sz="4" w:color="D9D9D9"/>
              <w:left w:val="single" w:sz="4" w:color="D9D9D9"/>
              <w:bottom w:val="single" w:sz="4" w:color="D9D9D9"/>
              <w:right w:val="single" w:sz="4" w:color="D9D9D9"/>
            </w:tcBorders>
            <w:shd w:fill="E7EDF3"/>
          </w:tcPr>
          <w:p>
            <w:pPr>
              <w:spacing w:after="100" w:before="100"/>
            </w:pPr>
            <w:r>
              <w:rPr>
                <w:b/>
                <w:sz w:val="20"/>
              </w:rPr>
              <w:t>Permitted entry</w:t>
            </w:r>
          </w:p>
        </w:tc>
      </w:tr>
      <w:tr>
        <w:trPr>
          <w:cantSplit/>
        </w:trPr>
        <w:tc>
          <w:tcPr>
            <w:tcW w:type="dxa" w:w="2304"/>
            <w:tcBorders>
              <w:top w:val="single" w:sz="4" w:color="D9D9D9"/>
              <w:left w:val="single" w:sz="4" w:color="D9D9D9"/>
              <w:bottom w:val="single" w:sz="4" w:color="D9D9D9"/>
              <w:right w:val="single" w:sz="4" w:color="D9D9D9"/>
            </w:tcBorders>
          </w:tcPr>
          <w:p>
            <w:pPr>
              <w:spacing w:after="100" w:before="100"/>
            </w:pPr>
            <w:r>
              <w:rPr>
                <w:b w:val="0"/>
                <w:sz w:val="20"/>
              </w:rPr>
              <w:t>Identifiers and source</w:t>
            </w:r>
          </w:p>
        </w:tc>
        <w:tc>
          <w:tcPr>
            <w:tcW w:type="dxa" w:w="7632"/>
            <w:tcBorders>
              <w:top w:val="single" w:sz="4" w:color="D9D9D9"/>
              <w:left w:val="single" w:sz="4" w:color="D9D9D9"/>
              <w:bottom w:val="single" w:sz="4" w:color="D9D9D9"/>
              <w:right w:val="single" w:sz="4" w:color="D9D9D9"/>
            </w:tcBorders>
          </w:tcPr>
          <w:p>
            <w:pPr>
              <w:spacing w:after="100" w:before="100"/>
            </w:pPr>
            <w:r>
              <w:rPr>
                <w:b w:val="0"/>
                <w:sz w:val="20"/>
              </w:rPr>
              <w:t>RecordID, ReportID, StudyID, DOI/arXiv, search source and date.</w:t>
            </w:r>
          </w:p>
        </w:tc>
      </w:tr>
      <w:tr>
        <w:trPr>
          <w:cantSplit/>
        </w:trPr>
        <w:tc>
          <w:tcPr>
            <w:tcW w:type="dxa" w:w="2304"/>
            <w:tcBorders>
              <w:top w:val="single" w:sz="4" w:color="D9D9D9"/>
              <w:left w:val="single" w:sz="4" w:color="D9D9D9"/>
              <w:bottom w:val="single" w:sz="4" w:color="D9D9D9"/>
              <w:right w:val="single" w:sz="4" w:color="D9D9D9"/>
            </w:tcBorders>
          </w:tcPr>
          <w:p>
            <w:pPr>
              <w:spacing w:after="100" w:before="100"/>
            </w:pPr>
            <w:r>
              <w:rPr>
                <w:b w:val="0"/>
                <w:sz w:val="20"/>
              </w:rPr>
              <w:t>Decision and stage</w:t>
            </w:r>
          </w:p>
        </w:tc>
        <w:tc>
          <w:tcPr>
            <w:tcW w:type="dxa" w:w="7632"/>
            <w:tcBorders>
              <w:top w:val="single" w:sz="4" w:color="D9D9D9"/>
              <w:left w:val="single" w:sz="4" w:color="D9D9D9"/>
              <w:bottom w:val="single" w:sz="4" w:color="D9D9D9"/>
              <w:right w:val="single" w:sz="4" w:color="D9D9D9"/>
            </w:tcBorders>
          </w:tcPr>
          <w:p>
            <w:pPr>
              <w:spacing w:after="100" w:before="100"/>
            </w:pPr>
            <w:r>
              <w:rPr>
                <w:b w:val="0"/>
                <w:sz w:val="20"/>
              </w:rPr>
              <w:t>Include / exclude / uncertain; title-abstract / full text.</w:t>
            </w:r>
          </w:p>
        </w:tc>
      </w:tr>
      <w:tr>
        <w:trPr>
          <w:cantSplit/>
        </w:trPr>
        <w:tc>
          <w:tcPr>
            <w:tcW w:type="dxa" w:w="2304"/>
            <w:tcBorders>
              <w:top w:val="single" w:sz="4" w:color="D9D9D9"/>
              <w:left w:val="single" w:sz="4" w:color="D9D9D9"/>
              <w:bottom w:val="single" w:sz="4" w:color="D9D9D9"/>
              <w:right w:val="single" w:sz="4" w:color="D9D9D9"/>
            </w:tcBorders>
          </w:tcPr>
          <w:p>
            <w:pPr>
              <w:spacing w:after="100" w:before="100"/>
            </w:pPr>
            <w:r>
              <w:rPr>
                <w:b w:val="0"/>
                <w:sz w:val="20"/>
              </w:rPr>
              <w:t>Eligibility responses</w:t>
            </w:r>
          </w:p>
        </w:tc>
        <w:tc>
          <w:tcPr>
            <w:tcW w:type="dxa" w:w="7632"/>
            <w:tcBorders>
              <w:top w:val="single" w:sz="4" w:color="D9D9D9"/>
              <w:left w:val="single" w:sz="4" w:color="D9D9D9"/>
              <w:bottom w:val="single" w:sz="4" w:color="D9D9D9"/>
              <w:right w:val="single" w:sz="4" w:color="D9D9D9"/>
            </w:tcBorders>
          </w:tcPr>
          <w:p>
            <w:pPr>
              <w:spacing w:after="100" w:before="100"/>
            </w:pPr>
            <w:r>
              <w:rPr>
                <w:b w:val="0"/>
                <w:sz w:val="20"/>
              </w:rPr>
              <w:t>Yes / no / unclear for each condition; exact evidence location.</w:t>
            </w:r>
          </w:p>
        </w:tc>
      </w:tr>
      <w:tr>
        <w:trPr>
          <w:cantSplit/>
        </w:trPr>
        <w:tc>
          <w:tcPr>
            <w:tcW w:type="dxa" w:w="2304"/>
            <w:tcBorders>
              <w:top w:val="single" w:sz="4" w:color="D9D9D9"/>
              <w:left w:val="single" w:sz="4" w:color="D9D9D9"/>
              <w:bottom w:val="single" w:sz="4" w:color="D9D9D9"/>
              <w:right w:val="single" w:sz="4" w:color="D9D9D9"/>
            </w:tcBorders>
          </w:tcPr>
          <w:p>
            <w:pPr>
              <w:spacing w:after="100" w:before="100"/>
            </w:pPr>
            <w:r>
              <w:rPr>
                <w:b w:val="0"/>
                <w:sz w:val="20"/>
              </w:rPr>
              <w:t>Reason and retrieval</w:t>
            </w:r>
          </w:p>
        </w:tc>
        <w:tc>
          <w:tcPr>
            <w:tcW w:type="dxa" w:w="7632"/>
            <w:tcBorders>
              <w:top w:val="single" w:sz="4" w:color="D9D9D9"/>
              <w:left w:val="single" w:sz="4" w:color="D9D9D9"/>
              <w:bottom w:val="single" w:sz="4" w:color="D9D9D9"/>
              <w:right w:val="single" w:sz="4" w:color="D9D9D9"/>
            </w:tcBorders>
          </w:tcPr>
          <w:p>
            <w:pPr>
              <w:spacing w:after="100" w:before="100"/>
            </w:pPr>
            <w:r>
              <w:rPr>
                <w:b w:val="0"/>
                <w:sz w:val="20"/>
              </w:rPr>
              <w:t>Primary exclusion code; retrieval attempts and access outcome.</w:t>
            </w:r>
          </w:p>
        </w:tc>
      </w:tr>
      <w:tr>
        <w:trPr>
          <w:cantSplit/>
        </w:trPr>
        <w:tc>
          <w:tcPr>
            <w:tcW w:type="dxa" w:w="2304"/>
            <w:tcBorders>
              <w:top w:val="single" w:sz="4" w:color="D9D9D9"/>
              <w:left w:val="single" w:sz="4" w:color="D9D9D9"/>
              <w:bottom w:val="single" w:sz="4" w:color="D9D9D9"/>
              <w:right w:val="single" w:sz="4" w:color="D9D9D9"/>
            </w:tcBorders>
          </w:tcPr>
          <w:p>
            <w:pPr>
              <w:spacing w:after="100" w:before="100"/>
            </w:pPr>
            <w:r>
              <w:rPr>
                <w:b w:val="0"/>
                <w:sz w:val="20"/>
              </w:rPr>
              <w:t>Review history</w:t>
            </w:r>
          </w:p>
        </w:tc>
        <w:tc>
          <w:tcPr>
            <w:tcW w:type="dxa" w:w="7632"/>
            <w:tcBorders>
              <w:top w:val="single" w:sz="4" w:color="D9D9D9"/>
              <w:left w:val="single" w:sz="4" w:color="D9D9D9"/>
              <w:bottom w:val="single" w:sz="4" w:color="D9D9D9"/>
              <w:right w:val="single" w:sz="4" w:color="D9D9D9"/>
            </w:tcBorders>
          </w:tcPr>
          <w:p>
            <w:pPr>
              <w:spacing w:after="100" w:before="100"/>
            </w:pPr>
            <w:r>
              <w:rPr>
                <w:b w:val="0"/>
                <w:sz w:val="20"/>
              </w:rPr>
              <w:t>Reviewer, date, independent initial decision, consensus and rationale.</w:t>
            </w:r>
          </w:p>
        </w:tc>
      </w:tr>
    </w:tbl>
    <w:p>
      <w:pPr>
        <w:pStyle w:val="Heading1"/>
      </w:pPr>
      <w:r>
        <w:t>Flow accounting</w:t>
      </w:r>
    </w:p>
    <w:p>
      <w:r>
        <w:t>Maintain separate counts for database records and other discovery methods, duplicates removed, screened records, reports sought, reports not retrieved, full-text exclusions by reason, included reports and unique studies. Reconcile counts against identifiers before drawing the PRISMA flow. Exploratory workbook totals never substitute for search-export counts.</w:t>
      </w:r>
    </w:p>
    <w:p>
      <w:pPr>
        <w:pStyle w:val="Heading1"/>
      </w:pPr>
      <w:r>
        <w:t>Extraction codebook and validity appraisal</w:t>
      </w:r>
    </w:p>
    <w:p>
      <w:r>
        <w:t>Every coded assertion requires a ReportID, version, page or section, supporting passage or precise paraphrase, extractor and verification status. Inspect methods, results, appendices and referenced evaluator documentation. Search-term hits alone do not establish full-text completion.</w:t>
      </w:r>
    </w:p>
    <w:tbl>
      <w:tblPr>
        <w:tblW w:type="auto" w:w="0"/>
        <w:tblLayout w:type="fixed"/>
        <w:tblLook w:firstColumn="1" w:firstRow="1" w:lastColumn="0" w:lastRow="0" w:noHBand="0" w:noVBand="1" w:val="04A0"/>
      </w:tblPr>
      <w:tblGrid>
        <w:gridCol w:w="2160"/>
        <w:gridCol w:w="7776"/>
      </w:tblGrid>
      <w:tr>
        <w:trPr>
          <w:cantSplit/>
          <w:tblHeader/>
        </w:trPr>
        <w:tc>
          <w:tcPr>
            <w:tcW w:type="dxa" w:w="2160"/>
            <w:tcBorders>
              <w:top w:val="single" w:sz="4" w:color="D9D9D9"/>
              <w:left w:val="single" w:sz="4" w:color="D9D9D9"/>
              <w:bottom w:val="single" w:sz="4" w:color="D9D9D9"/>
              <w:right w:val="single" w:sz="4" w:color="D9D9D9"/>
            </w:tcBorders>
            <w:shd w:fill="E7EDF3"/>
          </w:tcPr>
          <w:p>
            <w:pPr>
              <w:spacing w:after="100" w:before="100"/>
            </w:pPr>
            <w:r>
              <w:rPr>
                <w:b/>
                <w:sz w:val="20"/>
              </w:rPr>
              <w:t>Field group</w:t>
            </w:r>
          </w:p>
        </w:tc>
        <w:tc>
          <w:tcPr>
            <w:tcW w:type="dxa" w:w="7776"/>
            <w:tcBorders>
              <w:top w:val="single" w:sz="4" w:color="D9D9D9"/>
              <w:left w:val="single" w:sz="4" w:color="D9D9D9"/>
              <w:bottom w:val="single" w:sz="4" w:color="D9D9D9"/>
              <w:right w:val="single" w:sz="4" w:color="D9D9D9"/>
            </w:tcBorders>
            <w:shd w:fill="E7EDF3"/>
          </w:tcPr>
          <w:p>
            <w:pPr>
              <w:spacing w:after="100" w:before="100"/>
            </w:pPr>
            <w:r>
              <w:rPr>
                <w:b/>
                <w:sz w:val="20"/>
              </w:rPr>
              <w:t>Required variables</w:t>
            </w:r>
          </w:p>
        </w:tc>
      </w:tr>
      <w:tr>
        <w:trPr>
          <w:cantSplit/>
        </w:trPr>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Study context</w:t>
            </w:r>
          </w:p>
        </w:tc>
        <w:tc>
          <w:tcPr>
            <w:tcW w:type="dxa" w:w="7776"/>
            <w:tcBorders>
              <w:top w:val="single" w:sz="4" w:color="D9D9D9"/>
              <w:left w:val="single" w:sz="4" w:color="D9D9D9"/>
              <w:bottom w:val="single" w:sz="4" w:color="D9D9D9"/>
              <w:right w:val="single" w:sz="4" w:color="D9D9D9"/>
            </w:tcBorders>
          </w:tcPr>
          <w:p>
            <w:pPr>
              <w:spacing w:after="100" w:before="100"/>
            </w:pPr>
            <w:r>
              <w:rPr>
                <w:b w:val="0"/>
                <w:sz w:val="20"/>
              </w:rPr>
              <w:t>Authors, year, venue/status, task, input, output framework, AI system, benchmark and data provenance.</w:t>
            </w:r>
          </w:p>
        </w:tc>
      </w:tr>
      <w:tr>
        <w:trPr>
          <w:cantSplit/>
        </w:trPr>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Sampling</w:t>
            </w:r>
          </w:p>
        </w:tc>
        <w:tc>
          <w:tcPr>
            <w:tcW w:type="dxa" w:w="7776"/>
            <w:tcBorders>
              <w:top w:val="single" w:sz="4" w:color="D9D9D9"/>
              <w:left w:val="single" w:sz="4" w:color="D9D9D9"/>
              <w:bottom w:val="single" w:sz="4" w:color="D9D9D9"/>
              <w:right w:val="single" w:sz="4" w:color="D9D9D9"/>
            </w:tcBorders>
          </w:tcPr>
          <w:p>
            <w:pPr>
              <w:spacing w:after="100" w:before="100"/>
            </w:pPr>
            <w:r>
              <w:rPr>
                <w:b w:val="0"/>
                <w:sz w:val="20"/>
              </w:rPr>
              <w:t>Evaluation size and unit, split, deduplication, realism, domain coverage, difficulty and contamination controls.</w:t>
            </w:r>
          </w:p>
        </w:tc>
      </w:tr>
      <w:tr>
        <w:trPr>
          <w:cantSplit/>
        </w:trPr>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Metric specification</w:t>
            </w:r>
          </w:p>
        </w:tc>
        <w:tc>
          <w:tcPr>
            <w:tcW w:type="dxa" w:w="7776"/>
            <w:tcBorders>
              <w:top w:val="single" w:sz="4" w:color="D9D9D9"/>
              <w:left w:val="single" w:sz="4" w:color="D9D9D9"/>
              <w:bottom w:val="single" w:sz="4" w:color="D9D9D9"/>
              <w:right w:val="single" w:sz="4" w:color="D9D9D9"/>
            </w:tcBorders>
          </w:tcPr>
          <w:p>
            <w:pPr>
              <w:spacing w:after="100" w:before="100"/>
            </w:pPr>
            <w:r>
              <w:rPr>
                <w:b w:val="0"/>
                <w:sz w:val="20"/>
              </w:rPr>
              <w:t>MetricID/family, formula or algorithm, range/direction, reference type, threshold, weights, aggregation, failure handling and evaluator version.</w:t>
            </w:r>
          </w:p>
        </w:tc>
      </w:tr>
      <w:tr>
        <w:trPr>
          <w:cantSplit/>
        </w:trPr>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Claim and coverage</w:t>
            </w:r>
          </w:p>
        </w:tc>
        <w:tc>
          <w:tcPr>
            <w:tcW w:type="dxa" w:w="7776"/>
            <w:tcBorders>
              <w:top w:val="single" w:sz="4" w:color="D9D9D9"/>
              <w:left w:val="single" w:sz="4" w:color="D9D9D9"/>
              <w:bottom w:val="single" w:sz="4" w:color="D9D9D9"/>
              <w:right w:val="single" w:sz="4" w:color="D9D9D9"/>
            </w:tcBorders>
          </w:tcPr>
          <w:p>
            <w:pPr>
              <w:spacing w:after="100" w:before="100"/>
            </w:pPr>
            <w:r>
              <w:rPr>
                <w:b w:val="0"/>
                <w:sz w:val="20"/>
              </w:rPr>
              <w:t>Author claim and location; explicit/inferred construct; task applicability; measured quality dimensions.</w:t>
            </w:r>
          </w:p>
        </w:tc>
      </w:tr>
      <w:tr>
        <w:trPr>
          <w:cantSplit/>
        </w:trPr>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Validation</w:t>
            </w:r>
          </w:p>
        </w:tc>
        <w:tc>
          <w:tcPr>
            <w:tcW w:type="dxa" w:w="7776"/>
            <w:tcBorders>
              <w:top w:val="single" w:sz="4" w:color="D9D9D9"/>
              <w:left w:val="single" w:sz="4" w:color="D9D9D9"/>
              <w:bottom w:val="single" w:sz="4" w:color="D9D9D9"/>
              <w:right w:val="single" w:sz="4" w:color="D9D9D9"/>
            </w:tcBorders>
          </w:tcPr>
          <w:p>
            <w:pPr>
              <w:spacing w:after="100" w:before="100"/>
            </w:pPr>
            <w:r>
              <w:rPr>
                <w:b w:val="0"/>
                <w:sz w:val="20"/>
              </w:rPr>
              <w:t>Validation type, criterion and its independence, sample/unit, statistic, uncertainty, rater expertise, blinding and reliability.</w:t>
            </w:r>
          </w:p>
        </w:tc>
      </w:tr>
      <w:tr>
        <w:trPr>
          <w:cantSplit/>
        </w:trPr>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Environment</w:t>
            </w:r>
          </w:p>
        </w:tc>
        <w:tc>
          <w:tcPr>
            <w:tcW w:type="dxa" w:w="7776"/>
            <w:tcBorders>
              <w:top w:val="single" w:sz="4" w:color="D9D9D9"/>
              <w:left w:val="single" w:sz="4" w:color="D9D9D9"/>
              <w:bottom w:val="single" w:sz="4" w:color="D9D9D9"/>
              <w:right w:val="single" w:sz="4" w:color="D9D9D9"/>
            </w:tcBorders>
          </w:tcPr>
          <w:p>
            <w:pPr>
              <w:spacing w:after="100" w:before="100"/>
            </w:pPr>
            <w:r>
              <w:rPr>
                <w:b w:val="0"/>
                <w:sz w:val="20"/>
              </w:rPr>
              <w:t>Browser/version, viewport, device, OS, runtime, dependencies, assets, random seeds, repeats, tool and token budgets.</w:t>
            </w:r>
          </w:p>
        </w:tc>
      </w:tr>
      <w:tr>
        <w:trPr>
          <w:cantSplit/>
        </w:trPr>
        <w:tc>
          <w:tcPr>
            <w:tcW w:type="dxa" w:w="2160"/>
            <w:tcBorders>
              <w:top w:val="single" w:sz="4" w:color="D9D9D9"/>
              <w:left w:val="single" w:sz="4" w:color="D9D9D9"/>
              <w:bottom w:val="single" w:sz="4" w:color="D9D9D9"/>
              <w:right w:val="single" w:sz="4" w:color="D9D9D9"/>
            </w:tcBorders>
          </w:tcPr>
          <w:p>
            <w:pPr>
              <w:spacing w:after="100" w:before="100"/>
            </w:pPr>
            <w:r>
              <w:rPr>
                <w:b w:val="0"/>
                <w:sz w:val="20"/>
              </w:rPr>
              <w:t>Artifacts and limits</w:t>
            </w:r>
          </w:p>
        </w:tc>
        <w:tc>
          <w:tcPr>
            <w:tcW w:type="dxa" w:w="7776"/>
            <w:tcBorders>
              <w:top w:val="single" w:sz="4" w:color="D9D9D9"/>
              <w:left w:val="single" w:sz="4" w:color="D9D9D9"/>
              <w:bottom w:val="single" w:sz="4" w:color="D9D9D9"/>
              <w:right w:val="single" w:sz="4" w:color="D9D9D9"/>
            </w:tcBorders>
          </w:tcPr>
          <w:p>
            <w:pPr>
              <w:spacing w:after="100" w:before="100"/>
            </w:pPr>
            <w:r>
              <w:rPr>
                <w:b w:val="0"/>
                <w:sz w:val="20"/>
              </w:rPr>
              <w:t>Data/code/prompts availability, pinned versions, author limitations, reviewer interpretations and unresolved fields.</w:t>
            </w:r>
          </w:p>
        </w:tc>
      </w:tr>
    </w:tbl>
    <w:p>
      <w:pPr>
        <w:pStyle w:val="Heading1"/>
      </w:pPr>
      <w:r>
        <w:t>Evidence coding rules</w:t>
      </w:r>
    </w:p>
    <w:p>
      <w:r>
        <w:t>Use separate fields for content coverage, convergence with another measure, human/behavioral criterion evidence, discriminant or perturbation tests, and reliability. For each, code: empirical evidence reported; rationale only; explicitly not assessed; not reported after full-text review; not applicable; or unresolved. Capture validation borrowed from another benchmark separately from validation conducted in the current study.</w:t>
      </w:r>
    </w:p>
    <w:p>
      <w:r>
        <w:t>For correlation, record whether units are pages, models, tasks or raters, as well as sample size, coefficient type, confidence interval and p-value when reported. Do not treat model-ranking correlation as page-level agreement. For learned evaluators, record calibration, judge prompts, model version, repeated-judge variation, order effects and possible training overlap.</w:t>
      </w:r>
    </w:p>
    <w:p>
      <w:r>
        <w:t>Keep three judgments separate: what the authors claim; what the instrument directly measures; and the reviewer’s interpretation of the gap. A screenshot metric can be appropriate for visual resemblance. Lack of accessibility testing is a coverage limitation, not proof that the visual metric is invalid. Likewise, absence of reported validation is not evidence that a metric has failed validation.</w:t>
      </w:r>
    </w:p>
    <w:p>
      <w:pPr>
        <w:pStyle w:val="Heading1"/>
      </w:pPr>
      <w:r>
        <w:t>Quality profile and completion status</w:t>
      </w:r>
    </w:p>
    <w:p>
      <w:r>
        <w:t>Appraise sampling, measurement transparency, criterion relevance, reliability reporting, reproducibility and claim alignment as adequate / partial / concern / not reported / not applicable, with reasons. Do not sum unlike domains into one score. A study is fully extracted only after all applicable fields, supporting locations, appendices and verification are complete. Otherwise label it metadata only, targeted section review, or full-text extraction awaiting verification.</w:t>
      </w:r>
    </w:p>
    <w:p>
      <w:pPr>
        <w:pStyle w:val="Heading1"/>
      </w:pPr>
      <w:r>
        <w:t>Synthesis governance and next actions</w:t>
      </w:r>
    </w:p>
    <w:p>
      <w:pPr>
        <w:pStyle w:val="Heading1"/>
      </w:pPr>
      <w:r>
        <w:t>Analysis plan</w:t>
      </w:r>
    </w:p>
    <w:p>
      <w:r>
        <w:t>For RQ1–RQ2, produce a study-level construct map and a metric-use table. Report unique studies and metric uses separately. For RQ3, synthesize validation designs and their limitations without pooling different criteria or treating all coefficients as comparable. For RQ4, calculate coverage within applicable task strata; report not-reported and unresolved counts separately. For RQ5, compare environment control and artifact availability with documented reproduction, which is a different outcome.</w:t>
      </w:r>
    </w:p>
    <w:p>
      <w:r>
        <w:t>Avoid cross-paper model leaderboards when datasets, budgets or evaluators differ. Do not infer the size of a functionality deficit by subtracting visual and functional percentages on different scales. The review can document different coverage and performance patterns without treating scores as commensurate.</w:t>
      </w:r>
    </w:p>
    <w:p>
      <w:r>
        <w:t>Conduct sensitivity analyses using peer-reviewed reports only, confirmed full-text records only, benchmark-family grouping, and separate static-reconstruction versus interactive or repair strata. Explain sparse cells and selection bias. Use narrative synthesis by default; any pooled analysis requires a dated amendment demonstrating compatible constructs, units and statistics.</w:t>
      </w:r>
    </w:p>
    <w:p>
      <w:pPr>
        <w:pStyle w:val="Heading1"/>
      </w:pPr>
      <w:r>
        <w:t>Framework and novelty test</w:t>
      </w:r>
    </w:p>
    <w:p>
      <w:r>
        <w:t>Develop a claim-to-evidence checklist from the synthesis. Candidate dimensions are executability, visual resemblance, semantics/structure, interactions, accessibility/usability, maintainability/reuse, performance and cross-environment behavior. These are provisional categories, not an assumed universal maturity ladder. Recommendations must identify their empirical basis or be labeled methodological proposals.</w:t>
      </w:r>
    </w:p>
    <w:p>
      <w:r>
        <w:t>Recheck competing reviews before manuscript drafting and before submission. Compare populations, search coverage, metric-level extraction, validity evidence and original contribution. If a close review already answers the questions, narrow the contribution or reconsider the paper rather than claiming an unsupported gap.</w:t>
      </w:r>
    </w:p>
    <w:p>
      <w:pPr>
        <w:pStyle w:val="Heading1"/>
      </w:pPr>
      <w:r>
        <w:t>Registration and audit trail</w:t>
      </w:r>
    </w:p>
    <w:p>
      <w:r>
        <w:t>Prepare registration only after query calibration and reviewer arrangements are resolved. Record authorship, affiliations, funding and conflicts from confirmed author input. Do not invent declarations or submit to OSF or a journal without explicit authorization. Disclose the prior exploratory search and AI assistance in the eventual protocol and manuscript.</w:t>
      </w:r>
    </w:p>
    <w:p>
      <w:r>
        <w:t>For every amendment retain date, old and new rule, rationale, whether results had been seen, affected records and required recoding. Preserve source exports, decision logs and codebook versions. Share permitted metadata and derived coding; do not redistribute publisher PDFs without permission.</w:t>
      </w:r>
    </w:p>
    <w:p>
      <w:pPr>
        <w:pStyle w:val="Heading1"/>
      </w:pPr>
      <w:r>
        <w:t>Phase One completion checklist</w:t>
      </w:r>
    </w:p>
    <w:p>
      <w:pPr>
        <w:pStyle w:val="ListBullet"/>
      </w:pPr>
      <w:r>
        <w:t>Draft protocol, eligibility rules and codebook: prepared in this document.</w:t>
      </w:r>
    </w:p>
    <w:p>
      <w:pPr>
        <w:pStyle w:val="ListBullet"/>
      </w:pPr>
      <w:r>
        <w:t>Database access and live query/seed-recall tests: pending.</w:t>
      </w:r>
    </w:p>
    <w:p>
      <w:pPr>
        <w:pStyle w:val="ListBullet"/>
      </w:pPr>
      <w:r>
        <w:t>Reviewer identities, independent pilot and agreement record: pending.</w:t>
      </w:r>
    </w:p>
    <w:p>
      <w:pPr>
        <w:pStyle w:val="ListBullet"/>
      </w:pPr>
      <w:r>
        <w:t>Author approval of date/language scope and review arrangements: pending.</w:t>
      </w:r>
    </w:p>
    <w:p>
      <w:pPr>
        <w:pStyle w:val="ListBullet"/>
      </w:pPr>
      <w:r>
        <w:t>Protocol freeze and optional registration: pending; registration is a separate authorized action.</w:t>
      </w:r>
    </w:p>
    <w:p>
      <w:r>
        <w:t>Next bounded task: calibrate the proposed searches against verified seeds and document access limits. Do not begin final-count screening until the protocol is frozen. If institutional access is unavailable, request database exports from the lead author or document a revised accessible-source strategy.</w:t>
      </w:r>
    </w:p>
    <w:p>
      <w:pPr>
        <w:pStyle w:val="Heading1"/>
      </w:pPr>
      <w:r>
        <w:t>References</w:t>
      </w:r>
    </w:p>
    <w:p>
      <w:r>
        <w:t>[1] PRISMA. PRISMA-Protocols. Protocol reporting resources, including Moher et al. (2015). https://www.prisma-statement.org/protocols</w:t>
      </w:r>
    </w:p>
    <w:p>
      <w:r>
        <w:t>[2] PRISMA. PRISMA 2020 statement. Checklist and review-flow reporting resources. https://www.prisma-statement.org/prisma-2020</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54"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line="254"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4"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54"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