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Fidelity Supplementary Material</w:t>
      </w:r>
    </w:p>
    <w:p>
      <w:r>
        <w:t>This supplement documents the evidence states, recorded verification decisions, numerical interpretations, dependencies and retrospective sensitivity analysis supporting the manuscript. Version 14 incorporates the author’s full-paper reading alongside the dated source audit and preserves uncertainty about unverified claims, report equivalence and historical implementations.</w:t>
      </w:r>
    </w:p>
    <w:p>
      <w:pPr>
        <w:pStyle w:val="Heading1"/>
      </w:pPr>
      <w:r>
        <w:t>S1 Review governance and evidence states</w:t>
      </w:r>
    </w:p>
    <w:p>
      <w:r>
        <w:t>The synthesis separates author claim, direct instrument measure, and reviewer interpretation. Missing information was coded using explicit states (Reported; Not reported in inspected material; Unclear; Not applicable; Unavailable; Not yet checked) rather than being silently converted to absence.</w:t>
      </w:r>
    </w:p>
    <w:p>
      <w:pPr>
        <w:pStyle w:val="Heading1"/>
      </w:pPr>
      <w:r>
        <w:t>S2 Targeted human verification register</w:t>
      </w:r>
    </w:p>
    <w:p>
      <w:r>
        <w:t>Shravani Parsi read and studied all included papers and evaluated the evidence and interpretations. The nine non-blinded decisions below record selected checks, not the extent of author review. Their original scope and limitations are preserved. The review did not use independent dual coding.</w:t>
      </w:r>
    </w:p>
    <w:tbl>
      <w:tblPr>
        <w:tblStyle w:val="TableGrid"/>
        <w:tblW w:type="dxa" w:w="10080"/>
        <w:jc w:val="left"/>
        <w:tblLayout w:type="fixed"/>
        <w:tblLook w:firstColumn="1" w:firstRow="1" w:lastColumn="0" w:lastRow="0" w:noHBand="0" w:noVBand="1" w:val="04A0"/>
      </w:tblPr>
      <w:tblGrid>
        <w:gridCol w:w="2520"/>
        <w:gridCol w:w="2520"/>
        <w:gridCol w:w="2520"/>
        <w:gridCol w:w="2520"/>
      </w:tblGrid>
      <w:tr>
        <w:trPr>
          <w:tblHeader/>
          <w:cantSplit/>
          <w:tblHeader/>
        </w:trPr>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Check</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Study</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Verified scope</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Retained limitation</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P06 LayoutCoder</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Human evaluation is reported.</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Participant count unresolved: §4.1 says 3; §5.4 says 4.</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P01 Design2Code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79.9% is held-out prediction of pairwise human preference by a combined predictor.</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functional correctness or separate validation of every component.</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P50 MM-WebAgent</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Checked specification is text-led; screenshot is internal refinement feedback.</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External supplied visual target not established by checked passages.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H04</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P41 UI-UG</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Preserve author label “Interface &amp; Interactivity”; checked prompt assesses image appearance/consistency.</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Executed interaction is not established by that prompt.</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H05</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P18 1D-Bench</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Human–metric alignment is reported on controlled perturbations with a visual-closeness criterion.</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Transfer to ordinary generated outputs and tuning/confirmation independence not established.</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H06</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P65 From Code to Compliance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Reported 90.91% is treated as resolution of manually identified errors.</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percentage of all WCAG requirements satisfied; conformance not established.</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H07</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P66 HFG / honeypot framework</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HIR includes bounded frontend action/readiness checks.</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 complete backend, end-to-end, or security guarantee.</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H08</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P23 WebCompat</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139/203 is conditional on retained empirical pages; 2,032 observations are page × environment pairs.</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all 480 generation attempts and not 2,032 independent webpages.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H09</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P67 ScreenCoder</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Human comparative/workflow evidence is retained as reported.</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Does not separately validate every automatic visual metric; retry/provenance limits remain.</w:t>
            </w:r>
          </w:p>
        </w:tc>
      </w:tr>
    </w:tbl>
    <w:p>
      <w:pPr>
        <w:pStyle w:val="Heading1"/>
        <w:spacing w:before="160"/>
      </w:pPr>
      <w:r>
        <w:t>S3 Conclusion driving numerical claims</w:t>
      </w:r>
    </w:p>
    <w:tbl>
      <w:tblPr>
        <w:tblStyle w:val="TableGrid"/>
        <w:tblW w:type="dxa" w:w="10080"/>
        <w:jc w:val="left"/>
        <w:tblLayout w:type="fixed"/>
        <w:tblLook w:firstColumn="1" w:firstRow="1" w:lastColumn="0" w:lastRow="0" w:noHBand="0" w:noVBand="1" w:val="04A0"/>
      </w:tblPr>
      <w:tblGrid>
        <w:gridCol w:w="3360"/>
        <w:gridCol w:w="3360"/>
        <w:gridCol w:w="3360"/>
      </w:tblGrid>
      <w:tr>
        <w:trPr>
          <w:tblHeader/>
          <w:cantSplit/>
          <w:tblHeader/>
        </w:trPr>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Study</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Audited numerical statement</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Inference boundary</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Design2Code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79.9% held-out test accuracy</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Combined predictor of tested human visual preference; not functional correctness.</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MRWeb</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600 pairs; 14 raters; MAE 0.542; NEMD 0.508; CLIP 0.340</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Condition-specific human–metric association; 0.640 human entry is rater consistency.</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WebUIBench</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0.83 reported mean correlation on 100 sampled cases</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Estimator/aggregation unresolved; preserve author-reported “correlation”.</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DesignBench</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95.54% / 91.89% judge accuracy; κ 0.8648 / 0.8428</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Tested edit/repair judge agreement and label reliability only.</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1D-Bench</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50 instances; 20 annotators</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Controlled perturbation visual-closeness criterion.</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WebCompat</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139/203 = 68.5%; held-out F1 0.903</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Prevalence is conditional on retained pages; detector F1 is not generation success.</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WebVR</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86.7% mean agreement; one condition 96.0%</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Specific rubric/model/evidence configuration on 50 instances with five UI/UX experts.</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Animation2Code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1,069 pairs; 600 human comparisons; 65 annotators</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Dimension-specific validation; temporal similarity is not generic functionality.</w:t>
            </w:r>
          </w:p>
        </w:tc>
      </w:tr>
    </w:tbl>
    <w:p>
      <w:pPr>
        <w:pStyle w:val="Heading1"/>
        <w:spacing w:before="160"/>
      </w:pPr>
      <w:r>
        <w:t>S4 Reproducibility evidence states</w:t>
      </w:r>
    </w:p>
    <w:tbl>
      <w:tblPr>
        <w:tblStyle w:val="TableGrid"/>
        <w:tblW w:type="dxa" w:w="10080"/>
        <w:jc w:val="left"/>
        <w:tblLayout w:type="fixed"/>
        <w:tblLook w:firstColumn="1" w:firstRow="1" w:lastColumn="0" w:lastRow="0" w:noHBand="0" w:noVBand="1" w:val="04A0"/>
      </w:tblPr>
      <w:tblGrid>
        <w:gridCol w:w="3360"/>
        <w:gridCol w:w="3360"/>
        <w:gridCol w:w="3360"/>
      </w:tblGrid>
      <w:tr>
        <w:trPr>
          <w:tblHeader/>
          <w:cantSplit/>
          <w:tblHeader/>
        </w:trPr>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sz w:val="18"/>
              </w:rPr>
              <w:t>ID</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State</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Meaning</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Environment described</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Relevant browser/runtime/viewport/dependency configuration reported.</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2</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Artifacts available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Code, data, prompts, or evaluator artifacts released.</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3</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Artifact pinned</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Immutable version, commit, release, or hash identified.</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4</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Procedure inspectable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Evaluator logic sufficiently inspectable to reconstruct operational rule.</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5</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Historical-run equivalence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Available artifact demonstrably matches reported experimental run.</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6</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Independent reproduction</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Another execution independently reproduced or verified the result.</w:t>
            </w:r>
          </w:p>
        </w:tc>
      </w:tr>
    </w:tbl>
    <w:p>
      <w:pPr>
        <w:pStyle w:val="Heading1"/>
        <w:spacing w:before="160"/>
      </w:pPr>
      <w:r>
        <w:t>S5 Benchmark and evaluator relationships</w:t>
      </w:r>
    </w:p>
    <w:tbl>
      <w:tblPr>
        <w:tblStyle w:val="TableGrid"/>
        <w:tblW w:type="dxa" w:w="10080"/>
        <w:jc w:val="left"/>
        <w:tblLayout w:type="fixed"/>
        <w:tblLook w:firstColumn="1" w:firstRow="1" w:lastColumn="0" w:lastRow="0" w:noHBand="0" w:noVBand="1" w:val="04A0"/>
      </w:tblPr>
      <w:tblGrid>
        <w:gridCol w:w="2520"/>
        <w:gridCol w:w="2520"/>
        <w:gridCol w:w="2520"/>
        <w:gridCol w:w="2520"/>
      </w:tblGrid>
      <w:tr>
        <w:trPr>
          <w:tblHeader/>
          <w:cantSplit/>
          <w:tblHeader/>
        </w:trPr>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Group</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Studies</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Relationship</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Inference limit</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P01, P05, P06, P07, P09, P24, P67, P69, P25, P33, P49</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Design2Code-related benchmark/evaluator lineage; edges differ</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one shared sample; no complete historical implementation equivalence</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P03, P09, P25</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WebCode2M dataset lineage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Do not multiply inherited validity by reuse</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P67, P69</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ScreenBench-labelled evaluation lineage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P69 Screen-10K/ScreenBench naming unresolved</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D04</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P19, P69</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Multi-benchmark optimization/reward role family</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Conceptual grouping; not proof of identical observations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D05</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P20, P21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Critic/checklist role family</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Conceptual grouping, not sample dependence</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D06</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P23, P01, P05</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Reported source-design ancestry with cross-environment extension</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Compatibility adds a different construct; do not collapse its detector study into visual validation</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S12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P12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Six metric associations share one 600-pair human sample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Human consistency remains separate from automatic metrics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S08</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P08</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Framework/ablations share expert-ranking study</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four independent validations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S17</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P17</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Visual and final-score weight tuning use the same 60-instance human sample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Optimized correlations are not independent held-out validation; manual execution inspection is a distinct check</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S70</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P70</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Selection, agreement, reliability and repeated splits linked to human protocol</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Nested selection independence not established</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S71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P71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Judge comparisons and repeat runs share tested subset</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separate independent human samples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D07</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P57, P17, P11</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Inherited interactive benchmark evaluation</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Selection, interaction-rate and conditional visual denominators differ; no new independent instrument validation</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S32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P32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Functional nodes clustered within workflows and tasks</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250 nodes are not 250 independent tasks; visual ranking is a separate criterion</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S52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P52</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Repeated judge configurations and matching checks on shared webpages</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Extraction annotation, matching agreement and cross-LLM stability are distinct evidence types</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S33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P33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Checkpoint selection and headline score share validation split</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Not independent held-out confirmation</w:t>
            </w:r>
          </w:p>
        </w:tc>
      </w:tr>
    </w:tbl>
    <w:p>
      <w:pPr>
        <w:pStyle w:val="Heading1"/>
        <w:spacing w:before="160"/>
      </w:pPr>
      <w:r>
        <w:t>S6 Late update studies</w:t>
      </w:r>
    </w:p>
    <w:tbl>
      <w:tblPr>
        <w:tblStyle w:val="TableGrid"/>
        <w:tblW w:type="dxa" w:w="10080"/>
        <w:jc w:val="left"/>
        <w:tblLayout w:type="fixed"/>
        <w:tblLook w:firstColumn="1" w:firstRow="1" w:lastColumn="0" w:lastRow="0" w:noHBand="0" w:noVBand="1" w:val="04A0"/>
      </w:tblPr>
      <w:tblGrid>
        <w:gridCol w:w="3360"/>
        <w:gridCol w:w="3360"/>
        <w:gridCol w:w="3360"/>
      </w:tblGrid>
      <w:tr>
        <w:trPr>
          <w:tblHeader/>
          <w:cantSplit/>
          <w:tblHeader/>
        </w:trPr>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Study</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Disposition</w:t>
            </w:r>
          </w:p>
        </w:tc>
        <w:tc>
          <w:tcPr>
            <w:tcW w:type="dxa" w:w="336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Reason for retention</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P67 ScreenCoder</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Core visual-to-code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ScreenBench and comparative/workflow evidence; provenance/retry limitations retained.</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P69 UniCoder</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Webpage subset only</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External visual-target webpage tasks are retained within scope; other domains are not pooled. Benchmark and reward-role dependencies remain.</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P70 Animation2Code</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Core dynamic/temporal</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Separates appearance and temporal similarity; positive human criterion evidence.</w:t>
            </w:r>
          </w:p>
        </w:tc>
      </w:tr>
      <w:tr>
        <w:trPr>
          <w:cantSplit/>
          <w:cantSplit/>
        </w:trPr>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P71 WebVR</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Core video-conditioned</w:t>
            </w:r>
          </w:p>
        </w:tc>
        <w:tc>
          <w:tcPr>
            <w:tcW w:type="dxa" w:w="336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Rubric/evidence-modality learned-judge validation with expert criterion.</w:t>
            </w:r>
          </w:p>
        </w:tc>
      </w:tr>
    </w:tbl>
    <w:p>
      <w:pPr>
        <w:pStyle w:val="Heading1"/>
        <w:spacing w:before="160"/>
      </w:pPr>
      <w:r>
        <w:t>S7 Evidence derived reporting checklist</w:t>
      </w:r>
    </w:p>
    <w:tbl>
      <w:tblPr>
        <w:tblStyle w:val="TableGrid"/>
        <w:tblW w:type="dxa" w:w="10080"/>
        <w:jc w:val="left"/>
        <w:tblLayout w:type="fixed"/>
        <w:tblLook w:firstColumn="1" w:firstRow="1" w:lastColumn="0" w:lastRow="0" w:noHBand="0" w:noVBand="1" w:val="04A0"/>
      </w:tblPr>
      <w:tblGrid>
        <w:gridCol w:w="5040"/>
        <w:gridCol w:w="5040"/>
      </w:tblGrid>
      <w:tr>
        <w:trPr>
          <w:tblHeader/>
          <w:cantSplit/>
          <w:tblHeader/>
        </w:trPr>
        <w:tc>
          <w:tcPr>
            <w:tcW w:type="dxa" w:w="504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Domain</w:t>
            </w:r>
          </w:p>
        </w:tc>
        <w:tc>
          <w:tcPr>
            <w:tcW w:type="dxa" w:w="504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Minimum reporting elements</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Claim &amp; task scope</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Construct; input evidence; output framework; generation/edit/repair mode; human/tool intervention.</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Instrument &amp; role</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Formula/implementation/version; reference; thresholds; learned-judge prompt/model; aggregation; role.</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Population &amp; denominator</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Attempted N; failures; exclusions; retries; selected/evaluable N; observation unit.</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Validation &amp; reliability</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Criterion; sample; estimator; uncertainty; rater protocol; tuning vs confirmation.</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Environment &amp; direct tests</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Browser/runtime/viewport/assets/timing; action/assertion or wider-condition tests when claimed.</w:t>
            </w:r>
          </w:p>
        </w:tc>
      </w:tr>
      <w:tr>
        <w:trPr>
          <w:cantSplit/>
          <w:cantSplit/>
        </w:trPr>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Dependence &amp; reproducibility</w:t>
            </w:r>
          </w:p>
        </w:tc>
        <w:tc>
          <w:tcPr>
            <w:tcW w:type="dxa" w:w="504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Benchmark lineage; shared samples/raters; artifacts; hashes/commits; historical-run equivalence; inference limit.</w:t>
            </w:r>
          </w:p>
        </w:tc>
      </w:tr>
    </w:tbl>
    <w:p>
      <w:pPr>
        <w:pStyle w:val="Heading1"/>
        <w:spacing w:before="160"/>
      </w:pPr>
      <w:r>
        <w:t>S8 Search accounting note</w:t>
      </w:r>
    </w:p>
    <w:p>
      <w:r>
        <w:t>The retained record does not contain a complete native-database export and global deduplication trail from Scopus, Web of Science, ACM Digital Library and IEEE Xplore. We therefore do not reconstruct unsupported PRISMA identification counts or equate public-web searches with native database searches. The recorded bounded update used the 14 September 2026 cutoff. The final manuscript-linked release remains pending.</w:t>
      </w:r>
    </w:p>
    <w:p>
      <w:pPr>
        <w:pStyle w:val="Heading1"/>
      </w:pPr>
      <w:r>
        <w:t>S9 Retrospective sensitivity analysis</w:t>
      </w:r>
    </w:p>
    <w:p>
      <w:r>
        <w:t>The reconstruction assigns scoped decisions to 35 cited study families: 33 within task-specific scopes and two boundary comparators. Eight have checked publication-linked claims; 25 rely on inspected preprints or archived records without the required publication anchor. The latter category does not imply that all 25 studies are unpublished. These are audit membership counts, not field publication rates or PRISMA inclusion counts.</w:t>
      </w:r>
    </w:p>
    <w:p>
      <w:pPr>
        <w:pStyle w:val="Heading2"/>
      </w:pPr>
      <w:r>
        <w:t>Publication restriction</w:t>
      </w:r>
    </w:p>
    <w:p>
      <w:r>
        <w:t>Retain P01, P04, P05, P06, P07, P08, P16 and P17 only within their checked scopes. Examples of preference prediction, ranking, calibration, workflow outcomes and engineering proxies remain. Temporal, deployment and judge evidence coverage is reduced. Publication existence does not establish equivalence to the inspected version.</w:t>
      </w:r>
    </w:p>
    <w:p>
      <w:pPr>
        <w:pStyle w:val="Heading2"/>
      </w:pPr>
      <w:r>
        <w:t>Source assessment restriction</w:t>
      </w:r>
    </w:p>
    <w:p>
      <w:r>
        <w:t>Retain seven archived extraction decisions, 23 targeted claim decisions and three scoped human decisions, with P20 and P21 boundary-only. P26 is retained only in the supplied-fault-state repair stratum and excluded from screenshot-reconstruction counts. Its existing project, rendered state and design constraints define the repair task. A study-level scope decision does not verify every instrument or claim in that study.</w:t>
      </w:r>
    </w:p>
    <w:p>
      <w:pPr>
        <w:pStyle w:val="Heading2"/>
      </w:pPr>
      <w:r>
        <w:t>Dependency restriction</w:t>
      </w:r>
    </w:p>
    <w:p>
      <w:r>
        <w:t>Use the typed relationships in S5. Shared data, calibration samples and repeated judge configurations limit independence. Conceptual role families are not assumed to be identical samples. No effective sample size or pooled regrouped result is computed.</w:t>
      </w:r>
    </w:p>
    <w:p>
      <w:pPr>
        <w:pStyle w:val="Heading2"/>
      </w:pPr>
      <w:r>
        <w:t>Task separation</w:t>
      </w:r>
    </w:p>
    <w:p>
      <w:r>
        <w:t>Keep static, interactive, temporal, repair, engineering and deployment interpretations distinct. Internal rendered feedback alone does not establish an external visual-target task. Narrow static tasks are not required to support every production-quality construct.</w:t>
      </w:r>
    </w:p>
    <w:p>
      <w:r>
        <w:t>This retrospective analysis replaces the earlier assertions that all four prespecified restrictions left the conclusions unchanged. Retained examples support bounded measurement distinctions; they do not demonstrate invariance of every principal conclusion. The detailed replacement matrix is Supplementary_Sensitivity_Matrix_v2.md in the accompanying audit.</w:t>
      </w:r>
    </w:p>
    <w:p>
      <w:pPr>
        <w:pStyle w:val="Heading1"/>
      </w:pPr>
      <w:r>
        <w:t>S10 Detailed record reconciliation</w:t>
      </w:r>
    </w:p>
    <w:p>
      <w:r>
        <w:t>The original queue rows are preserved alongside separate reconciliation fields. Membership in the cited study set, an exact instrument ID link and source-level certification are different states. Rows outside the cited set remain in the discovery record and are not automatically excluded as ineligible.</w:t>
      </w:r>
    </w:p>
    <w:tbl>
      <w:tblPr>
        <w:tblW w:type="dxa" w:w="10080"/>
        <w:jc w:val="left"/>
        <w:tblLayout w:type="fixed"/>
        <w:tblLook w:firstColumn="1" w:firstRow="1" w:lastColumn="0" w:lastRow="0" w:noHBand="0" w:noVBand="1" w:val="04A0"/>
      </w:tblPr>
      <w:tblGrid>
        <w:gridCol w:w="2520"/>
        <w:gridCol w:w="2520"/>
        <w:gridCol w:w="2520"/>
        <w:gridCol w:w="2520"/>
      </w:tblGrid>
      <w:tr>
        <w:trPr>
          <w:tblHeader/>
          <w:cantSplit/>
          <w:tblHeader/>
        </w:trPr>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Register</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rFonts w:ascii="Arial" w:hAnsi="Arial"/>
                <w:b/>
                <w:color w:val="000000"/>
                <w:sz w:val="18"/>
              </w:rPr>
              <w:t>Original rows</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sz w:val="18"/>
              </w:rPr>
              <w:t>Rows in cited set</w:t>
            </w:r>
          </w:p>
        </w:tc>
        <w:tc>
          <w:tcPr>
            <w:tcW w:type="dxa" w:w="2520"/>
            <w:vAlign w:val="center"/>
            <w:tcMar>
              <w:top w:w="85" w:type="dxa"/>
              <w:left w:w="85" w:type="dxa"/>
              <w:bottom w:w="85" w:type="dxa"/>
              <w:right w:w="85" w:type="dxa"/>
            </w:tcMar>
            <w:tcBorders>
              <w:top w:val="single" w:sz="4" w:color="A0A0A0"/>
              <w:left w:val="nil" w:sz="4" w:color="A0A0A0"/>
              <w:bottom w:val="single" w:sz="4" w:color="A0A0A0"/>
              <w:right w:val="nil" w:sz="4" w:color="A0A0A0"/>
            </w:tcBorders>
          </w:tcPr>
          <w:p>
            <w:pPr>
              <w:spacing w:after="60" w:before="60"/>
            </w:pPr>
            <w:r>
              <w:rPr>
                <w:sz w:val="18"/>
              </w:rPr>
              <w:t>Rows outside set</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Instrument Queue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369</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180</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189</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Evidence Queue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86</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43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43</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Claim Queue</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13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8</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5</w:t>
            </w:r>
          </w:p>
        </w:tc>
      </w:tr>
      <w:tr>
        <w:trPr>
          <w:cantSplit/>
          <w:cantSplit/>
        </w:trPr>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Source Extraction</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53</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48</w:t>
            </w:r>
          </w:p>
        </w:tc>
        <w:tc>
          <w:tcPr>
            <w:tcW w:type="dxa" w:w="2520"/>
            <w:vAlign w:val="center"/>
            <w:tcMar>
              <w:top w:w="85" w:type="dxa"/>
              <w:left w:w="85" w:type="dxa"/>
              <w:bottom w:w="85" w:type="dxa"/>
              <w:right w:w="85" w:type="dxa"/>
            </w:tcMar>
            <w:tcBorders>
              <w:top w:val="nil" w:sz="4" w:color="A0A0A0"/>
              <w:left w:val="nil" w:sz="4" w:color="A0A0A0"/>
              <w:bottom w:val="single" w:sz="4" w:color="A0A0A0"/>
              <w:right w:val="nil" w:sz="4" w:color="A0A0A0"/>
            </w:tcBorders>
          </w:tcPr>
          <w:p>
            <w:pPr>
              <w:spacing w:after="60" w:before="60"/>
            </w:pPr>
            <w:r>
              <w:rPr>
                <w:rFonts w:ascii="Arial" w:hAnsi="Arial"/>
                <w:b w:val="0"/>
                <w:color w:val="000000"/>
                <w:sz w:val="18"/>
              </w:rPr>
              <w:t>5</w:t>
            </w:r>
          </w:p>
        </w:tc>
      </w:tr>
    </w:tbl>
    <w:p>
      <w:pPr>
        <w:spacing w:before="160"/>
      </w:pPr>
      <w:r>
        <w:t>Thirty-five instrument IDs link directly to retained source-extraction rows. All explicit evidence-to-instrument IDs resolve within the same study. These integrity checks do not establish independent observations, publication equivalence or correctness of every inherited interpretation.</w:t>
      </w:r>
    </w:p>
    <w:p>
      <w:r>
        <w:t>Two cited claim cases remain on specific hold: C02, the inherited Sketch2Code metric-alignment claim, and C05, the no-memorization inference. For C02, the associated E32–E38 records need passage-level attribution; the recent workflow-preference check does not certify them. C05 is not supported for current use. Five other claim cases lie outside the 35-family cited universe. Original records and detailed dispositions are in the JSON ledgers and Detailed_Record_Reconciliation.md.</w:t>
      </w:r>
    </w:p>
    <w:p>
      <w:pPr>
        <w:pStyle w:val="Heading1"/>
      </w:pPr>
      <w:r>
        <w:t>S11 Source versions and inference limits</w:t>
      </w:r>
    </w:p>
    <w:p>
      <w:r>
        <w:t>The manuscript identifies inspected arXiv versions for P03, P09, P11, P19, P24, P25, P26 and P31 rather than assuming equivalence to their venue reports. P01 now has a checked publication anchor for its combined preference predictor. The version ledger provides source links and locators.</w:t>
      </w:r>
    </w:p>
    <w:p>
      <w:r>
        <w:t>Targeted checks preserve unresolved denominator and sample descriptions in P22 and P52, distinguish clustered node evaluation in P32, and separate checkpoint selection from held-out confirmation in P33. Engineering code proxies, bounded developer edits and executed behavior remain different outcomes. No missing-case policy is imputed.</w:t>
      </w:r>
    </w:p>
    <w:p>
      <w:r>
        <w:t>The repair-only classification of P26 is finalized for this synthesis. Final approval of the submission version, author metadata and declarations remains separate. C02/C05 remain unused; unresolved historical-run equivalence and source ambiguities retain their stated limits.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Vishwak Thatikonda; Shravani Parsi</dc:creator>
  <cp:keywords/>
  <dc:description>generated by python-docx</dc:description>
  <cp:lastModifiedBy/>
  <cp:revision>1</cp:revision>
  <dcterms:created xsi:type="dcterms:W3CDTF">2013-12-23T23:15:00Z</dcterms:created>
  <dcterms:modified xsi:type="dcterms:W3CDTF">2013-12-23T23:15:00Z</dcterms:modified>
  <cp:category/>
</cp:coreProperties>
</file>