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Autonomous web agents powered by large multimodal models (LMMs) can now complete complex browser tasks, but determining whether a task succeeded remains an open problem. Current evaluation relies on brittle scripted oracles that cannot generalize across websites. We investigate whether LMMs can post-hoc verify task completion by examining a final screenshot, optionally augmented with a reference, either a textual description of the expected outcome or a screenshot from a successful human trajectory. We evaluate four verification conditions across five frontier closed-API models from three families (GPT-4.1, GPT-4.1 Mini, GPT-4.1 Nano, Claude Sonnet 4, Gemini 3.6 Flash) on 909 VisualWebArena trajectories produced by a single GPT-4V + Set-of-Mark agent across three web domains. In this setting, we find: (1) where a text reference helps, it helps substantially, improving accuracy by 6.2 to 20.6 percentage points, with every such gain significant at p &amp;lt; 1e-04 after Bonferroni correction; the size of the gain is bounded by the verifier's unaided ability, and the model with the strongest no-reference baseline (Gemini 3.6 Flash, 77.9%) gains the least (+0.9pp, not significant); (2) the benefit survives cross-generator evaluation for GPT-4.1 (+9.6pp, p=0.018) and GPT-4.1 Mini (+12.9pp, p=0.007), and the best configuration (Claude Sonnet 4 with a text reference) reaches 86.7% accuracy and 0.627 F1; (3) on the 147-instance visual-reference subset, visual references are model-dependent rather than uniformly harmful: GPT-4.1 falls from 69.2% to 58.5% and GPT-4.1 Nano from 75.3% to 67.3%, while GPT-4.1 Mini (61.2% to 73.5%) and Claude Sonnet 4 (76.6% to 80.3%) improve, with Gemini 3.6 Flash essentially unchanged (77.6% to 78.2%); (4) Claude Sonnet 4 is well-calibrated by both ECE and Brier score across all conditions, while the GPT-4.1 family and Gemini are more overconfident. Cross-generator and ablation experiments show that the text-reference benefit was partly inflated by self-agreement bias (the original references were generated by GPT-4.1 Nano, one of the evaluated models) and by evaluation-criteria leakage: references generated from the task description alone, without the benchmark's evaluation criteria, provide no benefit, and a reference that is short, noisy or wrong degrades verification further. A two-annotator study of the obvious / deceptive / partial failure taxonomy used in earlier analysis returned Cohen's kappa of 0.000, so we report the failure-type breakdown descriptively and withdraw claims that depended on it. These results indicate that LMM-based post-hoc verification is viable but reference-dependent, and that reference quality, generator independence, and the way the reference is described to the verifier all matter. The findings are conditional on the VWA + GPT-4V/SoM setting; we release the full evaluation harness, prompts, results, and analysis tooling to support cross-benchmark, cross-agent, and cross-verifier replication.</w:t>
        <w:br/>
        <w:br/>
        <w:t/>
        <w:br/>
        <w:br/>
        <w:t/>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Index Terms: large multimodal models, LLM-as-judge, autonomous web agents, post-hoc verification, task verification, confidence calibration, VisualWebArena, multimodal evaluation</w:t>
      </w:r>
      <w:r>
        <w:rPr>
          <w:rFonts w:ascii="Helvetica Neue" w:cs="Helvetica Neue" w:eastAsia="Helvetica Neue" w:hAnsi="Helvetica Neue"/>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use post-hoc verification to mean an LMM judge deciding, from the final screenshot, whether an LMM agent's task succeeded. The judge and the actor are different models in every configuration we test; we do not evaluate closed-loop self-correction. We study this question through a controlled experiment comparing four verification conditions:</w:t>
      </w:r>
    </w:p>
    <w:p>
      <w:pPr/>
      <w:r>
        <w:t>A text reference is a natural-language description of what the successful completion of a task should look like on the final web page. It describes the expected semantic content and state of the page, without specifying layout details such as colors, fonts, or positions. Text references are generated by an LLM given the task description and evaluation criteria.</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Prompt correction. In the originally submitted implementation, the Condition C and D user prompts described the first image as "the reference state (what the page looked like before the agent started)". That description was incorrect: the reference image is the final page state of a human demonstration that completed the task successfully, extracted from the VisualWebArena human Playwright traces, and the 147-instance visual subset is defined precisely by which instances have such a trace. The prompt text in Appendix A of the original submission already described the reference correctly, so the implementation and the documented protocol disagreed. For this revision we corrected the implementation to match Appendix A and re-ran Conditions C and D for all five verifiers. The correction raises Condition C accuracy for every model, by between 2.7 and 5.1 percentage points, while leaving Condition D almost unchanged, which is the expected pattern: Condition D also supplies a textual description of the expected outcome, so it is less sensitive to how the image is captioned. All Condition C and D results reported here use the corrected prompt; the pre-correction runs are retained in the released repository.</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3.6 Flash (Google), on 909 task instances from VisualWebArena [3], covering three web domains (e-commerce, classifieds, social media).</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Model availability note. The originally submitted version of this study evaluated gemini-2.5-flash. That model has since been retired by Google and returns HTTP 404 for API keys issued after its cutoff, so its results are no longer reproducible and the per-instance outputs could not be regenerated. For this revision we substituted gemini-3.6-flash, the successor named in Google's own deprecation message, and re-ran it from scratch across all four conditions and both reference-generator ablations. All Gemini numbers reported here are therefore from gemini-3.6-flash. The substitution changes one headline result: gemini-2.5-flash showed a significant A→B text-reference benefit, whereas gemini-3.6-flash does not, which is why we report the effect as holding for four of five models rather than all five. Aggregate statistics for the retired model are preserved in the released repository for comparison.</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A controlled comparison of reference modalities for LMM post-hoc verification on a fixed set of VWA trajectories across three closed-API model families, demonstrating that text references provide consistent, significant improvements (+5-21pp accuracy) while visual references are model-dependent, tolerated by Claude but harmful for GPT and Gemini models on the 147-instance visual-reference subset.</w:t>
      </w:r>
      <w:r>
        <w:rPr>
          <w:rFonts w:ascii="Times New Roman" w:cs="Times New Roman" w:eastAsia="Times New Roman" w:hAnsi="Times New Roman"/>
          <w:sz w:val="20"/>
          <w:szCs w:val="20"/>
          <w:rtl w:val="0"/>
        </w:rPr>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breakdown together with an inter-annotator agreement study of the taxonomy it relies on. The agreement study returned Cohen's kappa of 0.000, so we report the breakdown descriptively and withdraw the claim that references act selectively on deceptive failures.</w:t>
      </w:r>
      <w:r>
        <w:rPr>
          <w:rFonts w:ascii="Times New Roman" w:cs="Times New Roman" w:eastAsia="Times New Roman" w:hAnsi="Times New Roman"/>
          <w:sz w:val="20"/>
          <w:szCs w:val="20"/>
          <w:rtl w:val="0"/>
        </w:rPr>
        <w:t xml:space="preserve"/>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Gungsuh" w:cs="Gungsuh" w:eastAsia="Gungsuh" w:hAnsi="Gungsuh"/>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Pan et al.'s autonomous evaluation framework [5] and the WebJudge evaluator (Xue et al., COLM 2025),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Post-hoc verificationwhere an LMM judge decides, from the final screenshot, whether an LMM agent's task succeeded, is related to self-reflection [14], self-debugging [8], and ReAct-style reasoning-action loops [15]. Reflexion [14] demonstrated that iterative self-evaluation improves downstream task performance, but assumes the self-evaluation signal is reliable. Our work directly measures how reliable that signal is and what information is required to make it useful.</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Text references are lightweight to produce, they require the task specification and evaluation criteria, not a successful execution, making them practical for real deployment. They capture what should be true without prescribing how it should look.</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w:t>
      </w:r>
    </w:p>
    <w:p>
      <w:pPr>
        <w:jc w:val="center"/>
      </w:pPr>
      <w:r>
        <w:drawing>
          <wp:inline distB="0" distT="0" distL="0" distR="0">
            <wp:extent cx="2743200" cy="798021"/>
            <wp:effectExtent b="0" l="0" r="0" t="0"/>
            <wp:docPr id="49039" name="framework"/>
            <a:graphic xmlns:a="http://schemas.openxmlformats.org/drawingml/2006/main">
              <a:graphicData uri="http://schemas.openxmlformats.org/drawingml/2006/picture">
                <pic:pic xmlns:pic="http://schemas.openxmlformats.org/drawingml/2006/picture">
                  <pic:nvPicPr>
                    <pic:cNvPr id="0" name="framework"/>
                    <pic:cNvPicPr preferRelativeResize="0"/>
                  </pic:nvPicPr>
                  <pic:blipFill>
                    <a:blip r:embed="rId42"/>
                    <a:srcRect b="0" l="0" r="0" t="0"/>
                    <a:stretch>
                      <a:fillRect/>
                    </a:stretch>
                  </pic:blipFill>
                  <pic:spPr>
                    <a:xfrm>
                      <a:off x="0" y="0"/>
                      <a:ext cx="2743200" cy="798021"/>
                    </a:xfrm>
                    <a:prstGeom prst="rect">
                      <a:avLst/>
                    </a:prstGeom>
                    <a:ln>
                      <a:noFill/>
                    </a:ln>
                  </pic:spPr>
                </pic:pic>
              </a:graphicData>
            </a:graphic>
          </wp:inline>
        </w:drawing>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br/>
        <w:t>Figure 1: Visual Post-Hoc Verification Framework, inputs, prompt construction, and outputs for each of the four conditions (A–D).</w:t>
        <w:br/>
      </w:r>
      <w:r>
        <w:rPr>
          <w:rFonts w:ascii="Times New Roman" w:cs="Times New Roman" w:eastAsia="Times New Roman" w:hAnsi="Times New Roman"/>
          <w:sz w:val="20"/>
          <w:szCs w:val="20"/>
        </w:rPr>
      </w:r>
      <w:r>
        <w:rPr>
          <w:rFonts w:ascii="Times New Roman" w:cs="Times New Roman" w:eastAsia="Times New Roman" w:hAnsi="Times New Roman"/>
          <w:sz w:val="20"/>
          <w:szCs w:val="20"/>
          <w:rtl w:val="0"/>
        </w:rP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600"/>
        <w:gridCol w:w="1560"/>
        <w:tblGridChange w:id="0">
          <w:tblGrid>
            <w:gridCol w:w="1080"/>
            <w:gridCol w:w="1080"/>
            <w:gridCol w:w="600"/>
            <w:gridCol w:w="1560"/>
          </w:tblGrid>
        </w:tblGridChange>
      </w:tblGrid>
      <w:tr>
        <w:trPr>
          <w:cantSplit w:val="0"/>
          <w:trHeight w:val="9.4775390625"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initially hypothesised that references should help most with deceptive failures. As reported in Section 5.3, a two-annotator study found that this categorisation is not reliably reproducible (Cohen's kappa 0.000), so it is used descriptively in what follows and no conclusion depends on it.</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Vision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10,560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 for the SUCCESS class specifically. Success-prediction precision is TP/(TP+FP), the fraction of predicted successes that are genuine, and is the quantity a deployment would act on when a verifier reports SUCCESS. The false-positive rate is FP/(FP+TN) throughout, and the false-negative rate FN/(FN+TP); both are reported per model and condition in Appendix B.</w:t>
      </w:r>
      <w:r>
        <w:rPr>
          <w:rFonts w:ascii="Times New Roman" w:cs="Times New Roman" w:eastAsia="Times New Roman" w:hAnsi="Times New Roman"/>
          <w:sz w:val="20"/>
          <w:szCs w:val="20"/>
          <w:rtl w:val="0"/>
        </w:rPr>
        <w:t xml:space="preserve"/>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Times New Roman" w:cs="Times New Roman" w:eastAsia="Times New Roman" w:hAnsi="Times New Roman"/>
          <w:b w:val="1"/>
          <w:bCs w:val="1"/>
          <w:i w:val="1"/>
          <w:iCs w:val="1"/>
          <w:sz w:val="20"/>
          <w:szCs w:val="20"/>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[21]: For the 147 visual-reference instances we compute the Structural Similarity Index between each agent screenshot and its human reference screenshot. The two are resampled to a common 800x446 grayscale resolution, the native size of the human trace frames, so that neither image is cropped. Because a threshold-based baseline can be tuned for different objectives, we report two rules explicitly rather than a single "optimal" number. The accuracy-maximizing threshold (SSIM &gt; 0.794) attains 81.0% accuracy with 0.000 F1: it is the degenerate rule that labels every instance FAILURE, and its accuracy is exactly the 80.95% majority-class rate on this subset. The F1-maximizing threshold (SSIM &gt; 0.406) attains 0.325 F1 at 46.3% accuracy with a 58.8% false-positive rate. Neither rule is usable, which is the point: pixel-level similarity carries no actionable signal for task verification. A perceptual-hash baseline behaves the same way (accuracy-maximizing pHash distance &lt; 0.234 gives 81.6% accuracy at 0.069 F1). We note that pretrained vision-language similarity (e.g., BLIP-2 [25]) could be substituted; SSIM is a strong, well-understood baseline that requires no learned encoder.</w:t>
      </w:r>
      <w:r>
        <w:rPr>
          <w:rFonts w:ascii="Times New Roman" w:cs="Times New Roman" w:eastAsia="Times New Roman" w:hAnsi="Times New Roman"/>
          <w:sz w:val="20"/>
          <w:szCs w:val="20"/>
          <w:rtl w:val="0"/>
        </w:rPr>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Times New Roman" w:cs="Times New Roman" w:eastAsia="Times New Roman" w:hAnsi="Times New Roman"/>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540"/>
        <w:gridCol w:w="540"/>
        <w:gridCol w:w="540"/>
        <w:gridCol w:w="540"/>
        <w:gridCol w:w="540"/>
        <w:gridCol w:w="540"/>
        <w:gridCol w:w="540"/>
        <w:tblGridChange w:id="0">
          <w:tblGrid>
            <w:gridCol w:w="540"/>
            <w:gridCol w:w="540"/>
            <w:gridCol w:w="540"/>
            <w:gridCol w:w="540"/>
            <w:gridCol w:w="540"/>
            <w:gridCol w:w="540"/>
            <w:gridCol w:w="540"/>
            <w:gridCol w:w="54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Accuracy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Bal.Acc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Prec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Rec</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B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[.255,.389]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.836 [.812,.861]</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.488 [.417,.557]</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.690</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 [.599,.748]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 [.222,.500]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D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 [.662,.810]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 [.200,.525]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.407</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D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.638 [.607,.669]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 [.344,.446]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.844 [.820,.867]</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.606 [.546,.663]</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.797</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 [.660,.803]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 [.179,.486]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F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 [.694,.830]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 [.308,.613]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.536</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F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.700 [.671,.731]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 [.380,.490]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.705</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.821 [.796,.846]</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.541 [.477,.603]</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.748</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 [.503,.667]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 [.244,.494]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1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 [.565,.721]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 [.270,.527]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1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 [.404,.527]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.592</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.867 [.845,.889]</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.627 [.562,.688]</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 [.735,.871]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 [.441,.719]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 [.677,.827]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 [.338,.630]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3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.779 [.754,.807]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.501 [.440,.559]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.788 [.760,.814]</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.514 [.453,.571]</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.744</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 [.714,.850]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 [.373,.676]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.679</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 [.748,.871]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 [.421,.714]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.679</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Where a text reference helps, it helps substantially. Condition B improves on Condition A by +6.2pp (Nano), +20.6pp (Mini), +12.0pp (GPT-4.1) and +9.3pp (Claude Sonnet 4). Each of those four gains is significant by McNemar's test at p &lt; 1e-04 and survives Bonferroni correction across the full 30-test family (Table 2); for GPT-4.1 Mini the effect is very large (b=37, c=224, χ²=132.6). The F1 improvement is larger than accuracy alone suggests: Mini rises from 0.396 to 0.606, so text references help the model identify both successes and failures rather than merely shifting its decision boundary. The size of the gain appears bounded by what the verifier can already determine unaided. Gemini 3.6 Flash has the strongest no-reference baseline of the five models (77.9% in Condition A) and gains the least from a reference (+0.9pp to 78.8%, χ²=0.6, p=0.450, not significant). Read together, these results suggest that a text reference supplies what the verifier could not infer from the screenshot on its own: the more a model already infers, the less a description of the expected outcome adds.</w:t>
      </w:r>
      <w:r>
        <w:rPr>
          <w:rFonts w:ascii="Times New Roman" w:cs="Times New Roman" w:eastAsia="Times New Roman" w:hAnsi="Times New Roman"/>
          <w:sz w:val="20"/>
          <w:szCs w:val="20"/>
          <w:rtl w:val="0"/>
        </w:rPr>
        <w:t xml:space="preserve"/>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 Comparisons here use the aligned 147-instance subset (Table 5) so that A and C are measured on identical instances. Two models degrade: GPT-4.1 falls from 69.2% to 58.5% (−10.7pp) and GPT-4.1 Nano from 75.3% to 67.3% (−8.0pp). Two improve: GPT-4.1 Mini rises from 61.2% to 73.5% (+12.2pp) and Claude Sonnet 4 from 76.6% to 80.3% (+3.7pp). Gemini is essentially unchanged (77.6% → 78.2%). No A→C comparison survives Bonferroni correction at alpha'=0.0017, so these differences should be read as suggestive rather than established. The pattern is nonetheless consistent with GPT-4.1 treating surface similarity to the reference as more informative than it is, while Claude and Mini integrate the visual signal without being misled.</w:t>
      </w:r>
      <w:r>
        <w:rPr>
          <w:rFonts w:ascii="Cardo" w:cs="Cardo" w:eastAsia="Cardo" w:hAnsi="Cardo"/>
          <w:sz w:val="20"/>
          <w:szCs w:val="20"/>
          <w:rtl w:val="0"/>
        </w:rPr>
        <w:t xml:space="preserve"/>
      </w:r>
      <w:r>
        <w:rPr>
          <w:rFonts w:ascii="Times New Roman" w:cs="Times New Roman" w:eastAsia="Times New Roman" w:hAnsi="Times New Roman"/>
          <w:i w:val="1"/>
          <w:iCs w:val="1"/>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3: Dual references (D) rarely outperform text-only (B). On the aligned subset, Condition D underperforms Condition B for four of five models: Nano 80.8% → 73.9%, Mini 79.6% → 76.2%, GPT-4.1 78.2% → 64.6%, and Claude 84.7% → 75.2%. Gemini is the exception, improving from 74.8% to 81.0%. None of these B→D differences survives Bonferroni correction. Where D does fall short of B, the result suggests that visual references introduce noise that partially cancels the benefit of the text reference, with the model anchoring on visual similarity when both modalities are available.</w:t>
      </w:r>
      <w:r>
        <w:rPr>
          <w:rFonts w:ascii="Cardo" w:cs="Cardo" w:eastAsia="Cardo" w:hAnsi="Cardo"/>
          <w:sz w:val="20"/>
          <w:szCs w:val="20"/>
          <w:rtl w:val="0"/>
        </w:rPr>
        <w:t xml:space="preserve"/>
        <w:br w:type="textWrapping"/>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 </w:t>
        <w:br/>
        <w:t>χ² statistic and raw p-value; significance markers (* p&lt;0.05, ** p&lt;0.01, *** p&lt;0.001) refer to uncorrected values. Bold indicates pairs that survive Bonferroni correction at α'=0.05/30=0.00167 across the full 30-test family (5 models × 6 condition pairs); the full corrected table is in Appendix I and results/revision_bonferroni.csv.</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
              <w:t>χ²=17.8, p=2e-05*</w:t>
            </w:r>
          </w:p>
        </w:tc>
        <w:tc>
          <w:tcPr>
            <w:shd w:fill="auto" w:val="clear"/>
            <w:tcMar>
              <w:top w:w="100.0" w:type="dxa"/>
              <w:left w:w="100.0" w:type="dxa"/>
              <w:bottom w:w="100.0" w:type="dxa"/>
              <w:right w:w="100.0" w:type="dxa"/>
            </w:tcMar>
            <w:vAlign w:val="top"/>
          </w:tcPr>
          <w:p>
            <w:r>
              <w:t>χ²=2.9, p=0.091</w:t>
            </w:r>
          </w:p>
        </w:tc>
        <w:tc>
          <w:tcPr>
            <w:shd w:fill="auto" w:val="clear"/>
            <w:tcMar>
              <w:top w:w="100.0" w:type="dxa"/>
              <w:left w:w="100.0" w:type="dxa"/>
              <w:bottom w:w="100.0" w:type="dxa"/>
              <w:right w:w="100.0" w:type="dxa"/>
            </w:tcMar>
            <w:vAlign w:val="top"/>
          </w:tcPr>
          <w:p>
            <w:r>
              <w:t>χ²=7.5, p=0.006</w:t>
            </w:r>
          </w:p>
        </w:tc>
        <w:tc>
          <w:tcPr>
            <w:shd w:fill="auto" w:val="clear"/>
            <w:tcMar>
              <w:top w:w="100.0" w:type="dxa"/>
              <w:left w:w="100.0" w:type="dxa"/>
              <w:bottom w:w="100.0" w:type="dxa"/>
              <w:right w:w="100.0" w:type="dxa"/>
            </w:tcMar>
            <w:vAlign w:val="top"/>
          </w:tcPr>
          <w:p>
            <w:r>
              <w:t>χ²=2.9, p=0.091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
              <w:t>χ²=132.6, p=0e+00*</w:t>
            </w:r>
          </w:p>
        </w:tc>
        <w:tc>
          <w:tcPr>
            <w:shd w:fill="auto" w:val="clear"/>
            <w:tcMar>
              <w:top w:w="100.0" w:type="dxa"/>
              <w:left w:w="100.0" w:type="dxa"/>
              <w:bottom w:w="100.0" w:type="dxa"/>
              <w:right w:w="100.0" w:type="dxa"/>
            </w:tcMar>
            <w:vAlign w:val="top"/>
          </w:tcPr>
          <w:p>
            <w:r>
              <w:t>χ²=5.8, p=0.016</w:t>
            </w:r>
          </w:p>
        </w:tc>
        <w:tc>
          <w:tcPr>
            <w:shd w:fill="auto" w:val="clear"/>
            <w:tcMar>
              <w:top w:w="100.0" w:type="dxa"/>
              <w:left w:w="100.0" w:type="dxa"/>
              <w:bottom w:w="100.0" w:type="dxa"/>
              <w:right w:w="100.0" w:type="dxa"/>
            </w:tcMar>
            <w:vAlign w:val="top"/>
          </w:tcPr>
          <w:p>
            <w:r>
              <w:t>χ²=2.6, p=0.110</w:t>
            </w:r>
          </w:p>
        </w:tc>
        <w:tc>
          <w:tcPr>
            <w:shd w:fill="auto" w:val="clear"/>
            <w:tcMar>
              <w:top w:w="100.0" w:type="dxa"/>
              <w:left w:w="100.0" w:type="dxa"/>
              <w:bottom w:w="100.0" w:type="dxa"/>
              <w:right w:w="100.0" w:type="dxa"/>
            </w:tcMar>
            <w:vAlign w:val="top"/>
          </w:tcPr>
          <w:p>
            <w:r>
              <w:t>χ²=0.6, p=0.441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
              <w:t>χ²=60.0, p=9e-15*</w:t>
            </w:r>
          </w:p>
        </w:tc>
        <w:tc>
          <w:tcPr>
            <w:shd w:fill="auto" w:val="clear"/>
            <w:tcMar>
              <w:top w:w="100.0" w:type="dxa"/>
              <w:left w:w="100.0" w:type="dxa"/>
              <w:bottom w:w="100.0" w:type="dxa"/>
              <w:right w:w="100.0" w:type="dxa"/>
            </w:tcMar>
            <w:vAlign w:val="top"/>
          </w:tcPr>
          <w:p>
            <w:r>
              <w:t>χ²=5.0, p=0.025</w:t>
            </w:r>
          </w:p>
        </w:tc>
        <w:tc>
          <w:tcPr>
            <w:shd w:fill="auto" w:val="clear"/>
            <w:tcMar>
              <w:top w:w="100.0" w:type="dxa"/>
              <w:left w:w="100.0" w:type="dxa"/>
              <w:bottom w:w="100.0" w:type="dxa"/>
              <w:right w:w="100.0" w:type="dxa"/>
            </w:tcMar>
            <w:vAlign w:val="top"/>
          </w:tcPr>
          <w:p>
            <w:r>
              <w:t>χ²=16.0, p=6e-05*</w:t>
            </w:r>
          </w:p>
        </w:tc>
        <w:tc>
          <w:tcPr>
            <w:shd w:fill="auto" w:val="clear"/>
            <w:tcMar>
              <w:top w:w="100.0" w:type="dxa"/>
              <w:left w:w="100.0" w:type="dxa"/>
              <w:bottom w:w="100.0" w:type="dxa"/>
              <w:right w:w="100.0" w:type="dxa"/>
            </w:tcMar>
            <w:vAlign w:val="top"/>
          </w:tcPr>
          <w:p>
            <w:r>
              <w:t>χ²=8.2, p=0.004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
              <w:t>χ²=41.3, p=1e-10*</w:t>
            </w:r>
          </w:p>
        </w:tc>
        <w:tc>
          <w:tcPr>
            <w:shd w:fill="auto" w:val="clear"/>
            <w:tcMar>
              <w:top w:w="100.0" w:type="dxa"/>
              <w:left w:w="100.0" w:type="dxa"/>
              <w:bottom w:w="100.0" w:type="dxa"/>
              <w:right w:w="100.0" w:type="dxa"/>
            </w:tcMar>
            <w:vAlign w:val="top"/>
          </w:tcPr>
          <w:p>
            <w:r>
              <w:t>exact, p=0.832</w:t>
            </w:r>
          </w:p>
        </w:tc>
        <w:tc>
          <w:tcPr>
            <w:shd w:fill="auto" w:val="clear"/>
            <w:tcMar>
              <w:top w:w="100.0" w:type="dxa"/>
              <w:left w:w="100.0" w:type="dxa"/>
              <w:bottom w:w="100.0" w:type="dxa"/>
              <w:right w:w="100.0" w:type="dxa"/>
            </w:tcMar>
            <w:vAlign w:val="top"/>
          </w:tcPr>
          <w:p>
            <w:r>
              <w:t>exact, p=0.405</w:t>
            </w:r>
          </w:p>
        </w:tc>
        <w:tc>
          <w:tcPr>
            <w:shd w:fill="auto" w:val="clear"/>
            <w:tcMar>
              <w:top w:w="100.0" w:type="dxa"/>
              <w:left w:w="100.0" w:type="dxa"/>
              <w:bottom w:w="100.0" w:type="dxa"/>
              <w:right w:w="100.0" w:type="dxa"/>
            </w:tcMar>
            <w:vAlign w:val="top"/>
          </w:tcPr>
          <w:p>
            <w:r>
              <w:t>χ²=4.7, p=0.031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
              <w:t>χ²=0.6, p=0.450</w:t>
            </w:r>
          </w:p>
        </w:tc>
        <w:tc>
          <w:tcPr>
            <w:shd w:fill="auto" w:val="clear"/>
            <w:tcMar>
              <w:top w:w="100.0" w:type="dxa"/>
              <w:left w:w="100.0" w:type="dxa"/>
              <w:bottom w:w="100.0" w:type="dxa"/>
              <w:right w:w="100.0" w:type="dxa"/>
            </w:tcMar>
            <w:vAlign w:val="top"/>
          </w:tcPr>
          <w:p>
            <w:r>
              <w:t>exact, p=1.000</w:t>
            </w:r>
          </w:p>
        </w:tc>
        <w:tc>
          <w:tcPr>
            <w:shd w:fill="auto" w:val="clear"/>
            <w:tcMar>
              <w:top w:w="100.0" w:type="dxa"/>
              <w:left w:w="100.0" w:type="dxa"/>
              <w:bottom w:w="100.0" w:type="dxa"/>
              <w:right w:w="100.0" w:type="dxa"/>
            </w:tcMar>
            <w:vAlign w:val="top"/>
          </w:tcPr>
          <w:p>
            <w:r>
              <w:t>exact, p=0.332</w:t>
            </w:r>
          </w:p>
        </w:tc>
        <w:tc>
          <w:tcPr>
            <w:shd w:fill="auto" w:val="clear"/>
            <w:tcMar>
              <w:top w:w="100.0" w:type="dxa"/>
              <w:left w:w="100.0" w:type="dxa"/>
              <w:bottom w:w="100.0" w:type="dxa"/>
              <w:right w:w="100.0" w:type="dxa"/>
            </w:tcMar>
            <w:vAlign w:val="top"/>
          </w:tcPr>
          <w:p>
            <w:r>
              <w:t>exact, p=0.022</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Cardo" w:cs="Cardo" w:eastAsia="Cardo" w:hAnsi="Cardo"/>
          <w:sz w:val="20"/>
          <w:szCs w:val="20"/>
          <w:rtl w:val="0"/>
        </w:rPr>
        <w:t xml:space="preserve">The A→B improvement survives Bonferroni correction for four of the five models; Gemini 3.6 Flash is the exception (p=0.450). Of the 30 paired tests, 6 are Bonferroni-significant, and the same 6 are significant under the Holm-Bonferroni step-down procedure. Four of the six are A→B comparisons; the other two are GPT-4.1 Mini's A→D (χ²=10.0, p=0.0016) and GPT-4.1's B→C (χ²=16.0, p=6e-05). GPT-4.1's B→C is the only surviving contrast involving visual references: for that model, switching from text to visual references significantly worsens performance. The evidence that reference modality drives the effect is therefore now confined to a single model. Claude and Gemini are the most robust to visual references.</w:t>
      </w:r>
      <w:r>
        <w:rPr>
          <w:rFonts w:ascii="Times New Roman" w:cs="Times New Roman" w:eastAsia="Times New Roman" w:hAnsi="Times New Roman"/>
          <w:b w:val="1"/>
          <w:bCs w:val="1"/>
          <w:sz w:val="20"/>
          <w:szCs w:val="20"/>
          <w:rtl w:val="0"/>
        </w:rPr>
      </w:r>
      <w:r>
        <w:rPr>
          <w:rFonts w:ascii="Cardo" w:cs="Cardo" w:eastAsia="Cardo" w:hAnsi="Cardo"/>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Gungsuh" w:cs="Gungsuh" w:eastAsia="Gungsuh" w:hAnsi="Gungsuh"/>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Cardo" w:cs="Cardo" w:eastAsia="Cardo" w:hAnsi="Cardo"/>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480"/>
        <w:gridCol w:w="480"/>
        <w:gridCol w:w="480"/>
        <w:gridCol w:w="480"/>
        <w:gridCol w:w="480"/>
        <w:gridCol w:w="480"/>
        <w:gridCol w:w="480"/>
        <w:gridCol w:w="480"/>
        <w:tblGridChange w:id="0">
          <w:tblGrid>
            <w:gridCol w:w="480"/>
            <w:gridCol w:w="480"/>
            <w:gridCol w:w="480"/>
            <w:gridCol w:w="480"/>
            <w:gridCol w:w="480"/>
            <w:gridCol w:w="480"/>
            <w:gridCol w:w="480"/>
            <w:gridCol w:w="480"/>
            <w:gridCol w:w="4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F1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.748</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except Gemini; (ii) visual references (C) underperform A for GPT-4.1 and GPT-4.1 Nano, improve on it for GPT-4.1 Mini and Claude, and are neutral for Gemini; (iii) D beats B only for Gemini. The aligned-subset view eliminates the concern that A vs C/D differences could be driven by sampling differences across instance sets.</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5.2.2 Cross-Generator Evaluation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To test whether the text-reference benefit depends on the specific generator model, we regenerated text references using Claude Sonnet 4 as an independent generator. The original references were generated by GPT-4.1 Nano; using a different model controls for self-agreement bias. We re-ran all five verifiers on the 147-instance visual subset.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cross-generator results show a more nuanced picture than the original A→B comparison: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6: Cross-generator results (Claude Sonnet 4 references, 147-subset). Acc=accuracy, lift=A−B difference, McNemar p-value vs. A.</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500"/>
        <w:gridCol w:w="640"/>
        <w:gridCol w:w="640"/>
        <w:gridCol w:w="640"/>
        <w:gridCol w:w="80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McNemar p</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+12.9pp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0.007</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78.8%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0.018</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0.189</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0.664</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text-reference benefit is robust for GPT-4.1 (+9.6pp, p=0.018) and GPT-4.1 Mini (+12.9pp, p=0.007) under independent generation. For Nano, Claude Sonnet 4 and Gemini the effect is positive but not significant. Notably, Nano shows the largest gap between self-generated and independently generated references (+5.7pp self versus +1.4pp cross), which is the expected signature of self-agreement bias given that Nano generated the original references. The original A→B comparison therefore represents an upper bound; the cross-generator results provide a more realistic estimate of achievable benefit.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5.2.3 No-Criteria Ablation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We tested whether the evaluation criteria, and not merely the task description, drive the text-reference benefit. We generated references with GPT-4.1 Nano, the same generator used for the primary references, but omitted the benchmark's evaluation criteria from the generation prompt. Holding the generator fixed isolates the contribution of the criteria: the resulting references contain a natural-language description of the expected outcome but no structured success criteria.</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No model shows significant benefit when evaluation criteria are removed:</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7: No-criteria ablation results. Same format as Table 6. All values on the 147-subset.</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500"/>
        <w:gridCol w:w="640"/>
        <w:gridCol w:w="640"/>
        <w:gridCol w:w="640"/>
        <w:gridCol w:w="80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McNemar p</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0.089</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70.5%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0.804</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0.581</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This confirms that evaluation criteria, not merely the natural-language task description, are the primary source of the text-reference benefit. The no-criteria references lack the structured success criteria that guide the verifier's judgment, rendering the text reference ineffective.</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t xml:space="preserve">5.3 Failure Type Analysis (Taxonomy Not Validated)</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Reliability of the taxonomy. Before reporting any result conditioned on failure type we state the outcome of the inter-annotator agreement study requested in review. Two annotators independently labelled the same 100 failure instances with the three-way taxonomy, seeing the task description and the agent's final screenshot. Cohen's kappa is 0.000: observed agreement (0.330) is exactly the agreement expected by chance (0.330). The result is not attributable to one annotator, since each also agrees with the original single-annotator labels only at chance (kappa +0.016 and -0.030), and the three label distributions differ substantially, most visibly for the partial category (42 original, 35 and 14 for the two annotators). Inspection of the disagreements shows why: the categories are not mutually exclusive. A task abandoned partway typically also looks plausible, so it satisfies the definitions of both partial and deceptive, and which label an annotator chooses depends on whether they weight how convincing the failure looks or how far the agent progressed. We therefore report the failure-type breakdown below as a description of one annotator's labelling, not as a validated categorisation, and no claim in this paper rests on the distinction between deceptive and partial failures. The full agreement analysis is in results/iaa_kappa_3cat_human.txt.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with Condition B (text reference); Δ is the improvement from adding a text reference. Failure types are the original single-annotator labels, which a two-annotator study found not to be reproducible (Cohen's kappa 0.000, Section 5.3); the rows are descriptive and are not used to support any claim.</w:t>
      </w:r>
      <w:r>
        <w:rPr>
          <w:rFonts w:ascii="Times New Roman" w:cs="Times New Roman" w:eastAsia="Times New Roman" w:hAnsi="Times New Roman"/>
          <w:sz w:val="20"/>
          <w:szCs w:val="20"/>
          <w:rtl w:val="0"/>
        </w:rPr>
        <w:t xml:space="preserve"/>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7.1428571428571"/>
        <w:gridCol w:w="617.1428571428571"/>
        <w:gridCol w:w="617.1428571428571"/>
        <w:gridCol w:w="617.1428571428571"/>
        <w:gridCol w:w="617.1428571428571"/>
        <w:gridCol w:w="617.1428571428571"/>
        <w:gridCol w:w="617.1428571428571"/>
        <w:tblGridChange w:id="0">
          <w:tblGrid>
            <w:gridCol w:w="617.1428571428571"/>
            <w:gridCol w:w="617.1428571428571"/>
            <w:gridCol w:w="617.1428571428571"/>
            <w:gridCol w:w="617.1428571428571"/>
            <w:gridCol w:w="617.1428571428571"/>
            <w:gridCol w:w="617.1428571428571"/>
            <w:gridCol w:w="617.1428571428571"/>
          </w:tblGrid>
        </w:tblGridChange>
      </w:tblGrid>
      <w:tr>
        <w:trPr>
          <w:cantSplit w:val="0"/>
          <w:trHeight w:val="400" w:hRule="atLeast"/>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Obvious (156)</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Deceptive (287)</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Partial (316)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.830 (+.065)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.925 (+.085)</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.932 (−.003)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 (+.340)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(+.279)</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.949 (+.168)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.756 (+.250)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.819 (+.164)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.940 (+.104)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.812 (+.040)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.868 (+.128)</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.980 (+.089)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.724 (+.013)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 (+.014)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.896 (+.003)</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 that caveat, the breakdown under the original labelling is as follows.</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Under the original labelling, text references improve accuracy on instances labelled deceptive by +1.4 to +27.9 percentage points (GPT-4.1 Mini 56.1% to 84.0%, GPT-4.1 65.5% to 81.9%, Claude Sonnet 4 74.0% to 86.8%, GPT-4.1 Nano 84.0% to 92.5%, Gemini 3.6 Flash 74.6% to 76.0%). Because the labels are not reproducible, this pattern should be read as descriptive rather than as evidence that references act selectively on deceptive failures.</w:t>
      </w:r>
      <w:r>
        <w:rPr>
          <w:rFonts w:ascii="Times New Roman" w:cs="Times New Roman" w:eastAsia="Times New Roman" w:hAnsi="Times New Roman"/>
          <w:sz w:val="20"/>
          <w:szCs w:val="20"/>
          <w:rtl w:val="0"/>
        </w:rPr>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pattern is not confined to one category. For GPT-4.1 Mini and GPT-4.1 the largest gains fall on instances labelled obvious (+34.0pp and +25.0pp), which is consistent with these models failing to recognise even clear failures without a reference. Gains on instances labelled partial are smaller across the board (−0.3 to +16.8pp), and Gemini 3.6 Flash gains little in any category (+0.3 to +1.4pp), consistent with its negligible aggregate A to B effect. Since the categories themselves are not reliably separable, we do not interpret differences between them.</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73152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73152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 Failure-type labels are not validated (Cohen's kappa 0.000, Section 5.3).</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Computing SSIM between agent and human-reference screenshots on the 147 visual-reference instances yields a stark null result: the mean SSIM for SUCCESS instances (0.440 ± 0.118) is statistically indistinguishable from FAILURE instances (0.438 ± 0.114). Sweeping every threshold that can change a prediction, the accuracy-maximizing rule (SSIM &gt; 0.794) reaches 81.0% accuracy, exactly the majority-class rate, with 0.000 F1, because it predicts FAILURE everywhere. Optimizing for F1 instead selects a much lower threshold (SSIM &gt; 0.406) and yields 0.325 F1 at 46.3% accuracy. Reporting a single "optimal threshold" therefore obscures the result: the apparent 81.0% is an artifact of class imbalance, not evidence of discriminative power.</w:t>
      </w:r>
      <w:r>
        <w:rPr>
          <w:rFonts w:ascii="Times New Roman" w:cs="Times New Roman" w:eastAsia="Times New Roman" w:hAnsi="Times New Roman"/>
          <w:sz w:val="20"/>
          <w:szCs w:val="20"/>
          <w:rtl w:val="0"/>
        </w:rPr>
        <w:t xml:space="preserve"/>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indicates that, under matched-resolution SSIM comparison, pixel-level visual similarity is uninformative for web task verification in this setting. Web pages contain substantial visual variation unrelated to task success (timestamps, dynamic content, advertisements), making raw screenshot comparison futile. This also helps explain why visual references hurt GPT models: if models implicitly perform something like visual matching rather than semantic comparison, they will be misled.</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We map verbalized confidence c ∈ {1,...,10} to predicted probability c/10 of the predicted class being correct, the standard treatment for verbal confidence elicitation [18], [19].</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ECE_3 / ECE_15 / Brier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.240 /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.297 / .288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.280 / .314 / .327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.279 / .306 / .312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.301 / .326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.093 / .093 /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.173 / .199 / .231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 / .160 / .206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.262 / .292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 / .161 / .175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 / .413 / .414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 .340 / .353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.015 / .030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.036 / .046 / .106</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.033 / .099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.068 / .118 / .171</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.184 / .178 / .204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 / .184 / .203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.197 / .183 / .207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.157 / .184 / .182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pPr>
        <w:jc w:val="center"/>
      </w:pPr>
      <w:r>
        <w:drawing>
          <wp:inline distB="0" distT="0" distL="0" distR="0">
            <wp:extent cx="2743200" cy="1047403"/>
            <wp:effectExtent b="0" l="0" r="0" t="0"/>
            <wp:docPr id="69225" name="reliability_ab"/>
            <a:graphic xmlns:a="http://schemas.openxmlformats.org/drawingml/2006/main">
              <a:graphicData uri="http://schemas.openxmlformats.org/drawingml/2006/picture">
                <pic:pic xmlns:pic="http://schemas.openxmlformats.org/drawingml/2006/picture">
                  <pic:nvPicPr>
                    <pic:cNvPr id="0" name="reliability_ab"/>
                    <pic:cNvPicPr preferRelativeResize="0"/>
                  </pic:nvPicPr>
                  <pic:blipFill>
                    <a:blip r:embed="rId43"/>
                    <a:srcRect b="0" l="0" r="0" t="0"/>
                    <a:stretch>
                      <a:fillRect/>
                    </a:stretch>
                  </pic:blipFill>
                  <pic:spPr>
                    <a:xfrm>
                      <a:off x="0" y="0"/>
                      <a:ext cx="2743200" cy="1047403"/>
                    </a:xfrm>
                    <a:prstGeom prst="rect">
                      <a:avLst/>
                    </a:prstGeom>
                    <a:ln>
                      <a:noFill/>
                    </a:ln>
                  </pic:spPr>
                </pic:pic>
              </a:graphicData>
            </a:graphic>
          </wp:inline>
        </w:drawing>
      </w:r>
    </w:p>
    <w:p w:rsidR="00000000" w:rsidDel="00000000" w:rsidP="00000000" w:rsidRDefault="00000000" w:rsidRPr="00000000" w14:paraId="0000022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Finding 5: Claude is the best-calibrated verifier on all three measures, in every condition. This holds whether we bin coarsely (3 bins, matching elicitation) or finely (15 equal-mass bins), and is confirmed by the binning-free Brier score. Claude's near-perfect ECE_3bin (e.g., 0.015 in Condition A) loosens slightly under finer binning (ECE_15bin = 0.030) but remains lower than the next-best model in every condition.</w:t>
        <w:br/>
        <w:br/>
        <w:br/>
        <w:t>Figure 5: Calibration reliability diagrams for Conditions A and B across all five models.</w:t>
      </w:r>
      <w:r>
        <w:rPr>
          <w:rFonts w:ascii="Times New Roman" w:cs="Times New Roman" w:eastAsia="Times New Roman" w:hAnsi="Times New Roman"/>
          <w:sz w:val="20"/>
          <w:szCs w:val="20"/>
          <w:rtl w:val="0"/>
        </w:rPr>
      </w:r>
      <w:r>
        <w:rPr/>
      </w:r>
      <w:r>
        <w:rPr>
          <w:rtl w:val="0"/>
        </w:rPr>
      </w:r>
      <w:r>
        <w:rPr>
          <w:rFonts w:ascii="Times New Roman" w:cs="Times New Roman" w:eastAsia="Times New Roman" w:hAnsi="Times New Roman"/>
          <w:sz w:val="20"/>
          <w:szCs w:val="20"/>
          <w:rtl w:val="0"/>
        </w:rPr>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Gungsuh" w:cs="Gungsuh" w:eastAsia="Gungsuh" w:hAnsi="Gungsuh"/>
          <w:sz w:val="20"/>
          <w:szCs w:val="20"/>
          <w:rtl w:val="0"/>
        </w:rPr>
        <w:t xml:space="preserve">GPT-4.1 Mini and GPT-4.1 assign confidence ≥ 7 to virtually all predictions (&amp;gt;99% of instances in the highest bin; full per-model histograms in results/revision_confidence_histogram.csv),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Reliability diagrams are reported as Figure 6 (figures/fig6_reliability_diagrams.{pdf,png}).</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b w:val="1"/>
          <w:bCs w:val="1"/>
          <w:color w:val="188038"/>
          <w:sz w:val="20"/>
          <w:szCs w:val="20"/>
          <w:rtl w:val="0"/>
        </w:rPr>
        <w:t xml:space="preserve"/>
      </w:r>
      <w:r>
        <w:rPr>
          <w:rFonts w:ascii="Times New Roman" w:cs="Times New Roman" w:eastAsia="Times New Roman" w:hAnsi="Times New Roman"/>
          <w:b w:val="1"/>
          <w:bCs w:val="1"/>
          <w:sz w:val="20"/>
          <w:szCs w:val="20"/>
          <w:rtl w:val="0"/>
        </w:rPr>
        <w:t xml:space="preserve"/>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747"/>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747"/>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Cardo" w:cs="Cardo" w:eastAsia="Cardo" w:hAnsi="Cardo"/>
          <w:sz w:val="20"/>
          <w:szCs w:val="20"/>
          <w:rtl w:val="0"/>
        </w:rPr>
        <w:t xml:space="preserve">Text references improve GPT's calibration (A→B: ECE_15bin drops for GPT-4.1 Mini from 0.301 to 0.093; for GPT-4.1 from 0.262 to 0.161), while visual references worsen it (A→C: GPT-4.1 ECE_15bin rises to 0.441). This parallels the accuracy results and further supports the interpretation that visual references introduce confusion for non-Claude models.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x 4 conditions, including retried PARSE_ERROR/API_ERROR records), we executed 10,560 verification API calls at a total cost of $35.04 (per-call costs and latency in results/revision_cost_latency.csv). Note that the Gemini figures reflect gemini-3.6-flash pricing, which is roughly five times the input and six times the output rate of the retired gemini-2.5-flash used in the original submission.</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 GPT-4.1 Nano $0.75, GPT-4.1 Mini $2.15, GPT-4.1 $7.51, Claude Sonnet 4 $21.75, Gemini 3.6 Flash $2.88. Per-call cost ranges from $0.00029 (GPT-4.1 Nano) to $0.0100 (Claude Sonnet 4). Mean per-call latency in Condition B ranges from 3.2s (GPT-4.1 Mini) to 8.3s (Gemini 3.6 Flash). Adding a text reference (A→B) increases per-call cost by less than 10% on average and per-call latency negligibly, supporting the practical recommendation in Section 6: text references are a near-zero-cost upgrade.</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false positives: the model predicts SUCCESS when the ground truth is FAILURE. In Condition A, GPT-4.1 produces 228 false positives against 44 false negatives, and GPT-4.1 Mini 287 against 42. Gemini 3.6 Flash sits between them, with 152 false positives and 49 false negatives. This bias toward predicting SUCCESS is consistent with a model that treats "things look okay" as the default judgment.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Gungsuh" w:cs="Gungsuh" w:eastAsia="Gungsuh" w:hAnsi="Gungsuh"/>
          <w:sz w:val="20"/>
          <w:szCs w:val="20"/>
          <w:rtl w:val="0"/>
        </w:rPr>
        <w:t>Text references (Condition B) dramatically reduce false positives while only modestly increasing false negatives. For GPT-4.1 Mini, false positives drop from 287 to 101 (−65%) while false negatives decrease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increase the false-positive rate for GPT-4.1. On the 147-instance subset GPT-4.1 produces 51 false positives against 68 true negatives, an FPR of 42.9%, versus 30.0% (228/(228+531)) in Condition A. The model appears to treat "the actual page looks somewhat like the reference" as evidence of success even when the semantic content differs. The effect is model-specific: Claude Sonnet 4 (FPR 18.7%) and Gemini 3.6 Flash (19.3%) do not show it.</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5.8 Overconfidence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 key finding is that four of the five models exhibit substantial overconfidence: median confidence of 9-10 whether or not the verdict is correct. Claude Sonnet 4 is the exception, with a median of 8 when correct against 7 when wrong in Condition A. Table 8 shows the mean confidence when correct versus when wrong.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8: Confidence when correct vs. wrong for Conditions A and B.</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780"/>
        <w:gridCol w:w="780"/>
        <w:gridCol w:w="780"/>
        <w:gridCol w:w="78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wrong</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wrong</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8.83</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9.25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7.28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8.43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7.52</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9.51</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 overconfidence pattern is most pronounced for the GPT-4.1 family, where mean confidence when wrong equals or exceeds confidence when correct (GPT-4.1 9.78 vs 9.41, GPT-4.1 Mini 9.42 vs 9.37, GPT-4.1 Nano 8.81 vs 8.22 in Condition A). For these models confidence scores alone are unreliable for filtering low-quality verifications. Gemini 3.6 Flash is only marginally better (9.59 correct vs 9.47 wrong), its confidence being almost saturated at the top of the scale. Claude Sonnet 4 shows the best calibration, with a positive gap of +0.7 to +0.9 between correct and incorrect confidence.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Gemini 3.6 Flash neither gains nor loses appreciably from a text reference (+0.9pp, p=0.450). Inspection of its outputs suggests why: its confidence is saturated near the top of the scale in every condition, and its verdicts change comparatively rarely when a reference is added. Where it does err, the failure mode is reference-anchored: it reports that the expected state is present, echoing the reference text, when the screenshot does not show it.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5.9 Qualitative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Across all five models, on instances where both Conditions A and B produced a valid verdict, text references improved verification in 649 instances and degraded it in 209. We present representative examples of both.</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help: In vwa_classifieds_111 (GT=FAILURE), GPT-4.1 Nano without a reference correctly identifies the task failed but provides incomplete reasoning. With a text reference, it additionally notes the jersey team name mismatch, providing more actionable feedback.</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hurt: In vwa_classifieds_144 (GT=FAILURE), GPT-4.1 Mini without a reference correctly identifies that the comment text is lowercase ('how funky...') rather than the required 'How funky...'. With a text reference, it overlooks this case-sensitivity issue, likely because the reference states the expected comment without emphasizing exact case matching.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These examples illustrate that text references are most helpful when they provide structured evaluation criteria that the verifier can systematically check. They are least helpful when the verifier uses the reference as a proxy for task completion rather than as a checklist.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5.10 Cost-Latency Tradeoffs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9: Estimated cost and latency for verifying 909 instances. Text-only verification assumes ~538 input tokens and ~200 output tokens per instance.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GPT-4.1 Nano offers the lowest cost ($0.26 for 909 instances in Condition B) and a good cost-accuracy tradeoff. Claude Sonnet 4 ($9.11) is the most expensive but the most accurate and by far the best calibrated.</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Visual references add modest cost ($0.14–$7.27 per model) but do not improve verification accuracy, confirming that text references with evaluation criteria are sufficient for most use cases.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benefit of text references, where it appears, suggests a mechanism: a text reference converts an open-ended visual judgment ("does this look successful?") into a structured checklist ("does the page show X, Y and Z?"). This aligns with work on prompt engineering showing that decomposing complex judgments into specific sub-criteria improves model accuracy [26]. The text reference operationalizes the task's success criteria, giving the model concrete assertions to verify rather than requiring it to infer what success looks like from the task description alone. The no-criteria ablation (Section 5.2.3) supports this reading directly: references that describe the expected outcome but omit the benchmark's evaluation criteria produce no significant benefit for any model. This mechanism also predicts where the benefit should be small. A verifier that already resolves the task from the screenshot alone has little left for a checklist to supply, which is consistent with Gemini 3.6 Flash holding the highest Condition A accuracy and showing the smallest Condition B gain. On this account the relevant quantity is not whether a reference is present but how much uncertainty it removes.</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6.2 Why Visual References Fail for Some Models</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GPT-4.1 and GPT-4.1 Nano, but not for GPT-4.1 Mini, Claude Sonnet 4 or Gemini 3.6 Flash, points to a difference in how models use a second image rather than a general weakness of visual references.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Gungsuh" w:cs="Gungsuh" w:eastAsia="Gungsuh" w:hAnsi="Gungsuh"/>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GPT-4.1, which falls from 69.2% to 58.5% on the aligned subset, shows the pattern most clearly and is consistent with the surface-anchoring hypothesis. Gemini 3.6 Flash, by contrast, has the strongest no-reference baseline (77.9%) and is essentially unaffected by either reference modality, which suggests it relies more heavily on its own reading of the screenshot than on the supplied reference.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Invest in text reference generation with evaluation criteria. Text descriptions that include task-specific evaluation criteria improve verification for GPT-4.1 and GPT-4.1 Mini even when generated by an independent model. However, reference quality and generator compatibility matter; references without criteria or from incompatible generators may not help or may hurt performance.</w:t>
      </w:r>
      <w:r>
        <w:rPr>
          <w:rFonts w:ascii="Times New Roman" w:cs="Times New Roman" w:eastAsia="Times New Roman" w:hAnsi="Times New Roman"/>
          <w:sz w:val="20"/>
          <w:szCs w:val="20"/>
          <w:rtl w:val="0"/>
        </w:rPr>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 Visual references should be tested per-model before deployment: they harm GPT-4.1 and GPT-4.1 Nano, help GPT-4.1 Mini and Claude Sonnet 4, and leave Gemini essentially unchanged.</w:t>
      </w:r>
      <w:r>
        <w:rPr>
          <w:rFonts w:ascii="Times New Roman" w:cs="Times New Roman" w:eastAsia="Times New Roman" w:hAnsi="Times New Roman"/>
          <w:sz w:val="20"/>
          <w:szCs w:val="20"/>
          <w:rtl w:val="0"/>
        </w:rPr>
        <w:t xml:space="preserve"/>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We do not recommend targeting verification at deceptive failures. Although text references showed their largest absolute gains on instances labelled deceptive under the original labelling, a two-annotator study of that taxonomy returned Cohen's kappa of 0.000 (Section 5.3), so the category cannot currently be identified reliably enough to act on. Establishing a reproducible failure taxonomy is a prerequisite for any such policy.</w:t>
      </w:r>
      <w:r>
        <w:rPr>
          <w:rFonts w:ascii="Times New Roman" w:cs="Times New Roman" w:eastAsia="Times New Roman" w:hAnsi="Times New Roman"/>
          <w:sz w:val="20"/>
          <w:szCs w:val="20"/>
          <w:rtl w:val="0"/>
        </w:rPr>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3.6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 The three-way failure taxonomy is not validated. Two annotators independently labelled 100 failures over the obvious / deceptive / partial categories using the interface in iaa_labeling/ and scripts/recompute_iaa.py; Cohen's kappa is 0.000, with observed agreement (0.330) equal to chance, and each annotator agrees with the original single-annotator labels only at chance (+0.016 and -0.030). An earlier two-category pilot (failed / partial) reached kappa 0.116. The categories overlap by construction, since a partially completed task also tends to look plausible, and we did not find a labelling protocol that separates them; a redesigned taxonomy with an explicit precedence rule, or richer context than a single screenshot, is left to future work. We report the failure-type breakdown descriptively and draw no conclusion from it. Separately, verification is judged from a single final screenshot, which precludes detection of multi-step trajectory errors, and confidence is model-self-reported, a noisier elicitation than internal-logit methods [18], [19] that should be interpreted only after the calibration analysis (Section 5.5).</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 We use paired McNemar tests on jointly valid instances and percentile bootstrap confidence intervals (2,000 resamples). Where b+c &lt; 25 we use an exact binomial test rather than the asymptotic approximation. We apply both Bonferroni and Holm-Bonferroni multiple-comparison correction across the full 30-test family (5 models x 6 condition pairs) at family-wise α=0.05; 6 of 30 tests are significant under both corrections (Appendix I, results/revision_bonferroni.csv). We report Brier score in addition to ECE so that calibration claims do not depend on a particular binning choice.</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have presented a controlled study of reference-augmented LMM post-hoc verification for web agents. Across 909 VisualWebArena trajectories, four reference conditions, and five frontier closed-API models from three families, three findings hold consistently in this setting: text references significantly and uniformly improve verification, visual references degrade most models on the visual-reference subset, and adding a reference screenshot on top of a text reference does not help.</w:t>
      </w:r>
      <w:r>
        <w:rPr>
          <w:rFonts w:ascii="Times New Roman" w:cs="Times New Roman" w:eastAsia="Times New Roman" w:hAnsi="Times New Roman"/>
          <w:b w:val="1"/>
          <w:bCs w:val="1"/>
          <w:sz w:val="20"/>
          <w:szCs w:val="20"/>
          <w:rtl w:val="0"/>
        </w:rPr>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Sonnet 4) and GPT-4.1 Mini's from 63.8% to 84.4%. The benefit is not universal: Gemini 3.6 Flash gains only 0.9pp, which is not significant, and it also has the strongest no-reference baseline.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CITATION.cff</w:t>
      </w:r>
      <w:r>
        <w:rPr>
          <w:rFonts w:ascii="Times New Roman" w:cs="Times New Roman" w:eastAsia="Times New Roman" w:hAnsi="Times New Roman"/>
          <w:sz w:val="20"/>
          <w:szCs w:val="20"/>
          <w:rtl w:val="0"/>
        </w:rPr>
        <w:t xml:space="preserve"> (https://github.com/shravaniparsi/agentic-ui-test).</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Figures 1 to 5 and Figure 7 are regenerated by scripts/make_manuscript_figures.py; the threshold-policy figure (Figure 8) is produced by scripts/threshold_policy_analysis.py; the reliability diagrams for all four conditions (Figure 6) are produced by scripts/revision_analysis.py. All figures are included as PNG in figures/, and the threshold-policy and reliability figures additionally as PDF.</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Reported statistics: the supplement tables (paired tests, cross-generator, no-criteria, per-condition error rates) and the matched task-ID lists are produced by a single command, python3 scripts/recompute_final.py, and saved as results/S1_paired_tests.csv, results/S2_cross_generator_claude.csv, results/S2b_nocriteria.csv, results/T1_and_S3_error_rates.csv and results/S1_task_ids/. Revision-only artifacts (aligned-subset metrics, 15-bin equal-mass ECE, Brier scores, confidence histograms, cost and latency, Bonferroni and Holm tables) are produced by python3 scripts/revision_analysis.py and python3 scripts/full_revision_analysis.py, and saved as results/revision_*.csv and results/revision_summary.md. The inter-annotator agreement analysis is produced by python3 scripts/recompute_iaa.py and saved as results/iaa_kappa_3cat_human.txt.</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Determine whether the task was completed</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successfully based on how the agent's final state compares with the reference.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against the expected outcome description above.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132–147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133–147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76" w:lineRule="auto"/>
        <w:jc w:val="center"/>
        <w:rPr/>
      </w:pPr>
      <w:r>
        <w:rPr/>
        <w:drawing>
          <wp:inline distB="0" distT="0" distL="114300" distR="114300">
            <wp:extent cx="2743200" cy="3241963"/>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241963"/>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Reddit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.805 (371/461)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.904 (208/230)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.832 (173/208)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.826 (385/466)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.828 (192/232)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.900 (189/210)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.815 (380/466)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.790 (184/233)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.863 (397/460)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.813 (187/230)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.937 (192/205)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.768 (358/466)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.751 (175/233)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.871 (183/210)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illustrates how a text reference can supply a concrete assertion to check, converting "does this look successful?" into a specific comparison. It is a single illustrative case, not evidence about a failure category.</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tblGridChange w:id="0">
          <w:tblGrid>
            <w:gridCol w:w="2160"/>
            <w:gridCol w:w="216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is a case where even the text reference fails to correct the model. The MCAT book page shows a cover image that does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GPT-4.1 and Claude Sonnet 4 correctly identify that the wrong product was added; GPT-4.1 reports "The wish list contains the wrong product." Gemini 3.6 Flash is not rescued by the reference and still reports SUCCESS at confidence 10, which is consistent with its negligible aggregate A→B gain. This is the prototypical deceptive failure: correct action type (added to wish list), correct category (office chair), but wrong specific item.</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x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figures/fig8_threshold_policy.{pdf,png}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r>
        <w:rPr/>
        <w:drawing>
          <wp:inline distB="0" distT="0" distL="114300" distR="114300">
            <wp:extent cx="2743200" cy="712766"/>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2766"/>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scripts/generate_text_ref_variants.py (no API calls; deterministic) and the ablation is run by scripts/run_text_ref_ablation.py over a fixed-seed 100-instance subset, summarised by scripts/analyze_text_ref_ablation.py into results/textref_ablation_summary.csv. We evaluate GPT-4.1 Mini and Claude Sonnet 4, the model with the largest text-reference benefit and the most accurate verifier respectively. On this subset the majority-class (always-FAILURE) rate is 86.9%, and the full reference attains 84.8% accuracy / 0.595 F1 for GPT-4.1 Mini and 90.9% / 0.690 for Claude Sonnet 4.</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Results. Reference quality matters, and F1 rather than accuracy exposes it. Truncating the reference to its first sentence (short) costs GPT-4.1 Mini 0.231 F1 (0.595 → 0.364) and Claude Sonnet 4 0.157 F1 (0.690 → 0.533). Adding a distractor sentence (noisy) costs a further 0.031 and 0.019 F1 respectively, so verbosity is less damaging than omission. The wrong variant is the most instructive: accuracy rises to 86.0% (GPT-4.1 Mini) and 87.0% (Claude Sonnet 4), at or above the full-reference figure, while F1 collapses to 0.000 for both models. An off-topic reference does not merely fail to help; it drives the verifier to answer FAILURE on every instance, recovering the majority-class rate and losing all ability to recognise success. This is the same degenerate pattern seen in the SSIM baseline (Section 5.4), and it reinforces that accuracy alone is an unsafe headline metric on an 83.5%-FAILURE dataset. Practically, a verification pipeline that silently supplies a stale or mismatched reference would look accurate while having become useless.</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sz w:val="20"/>
          <w:szCs w:val="20"/>
        </w:rPr>
      </w:pPr>
      <w:bookmarkStart w:colFirst="0" w:colLast="0" w:name="_gqkfdeqri12q" w:id="21"/>
      <w:bookmarkEnd w:id="21"/>
      <w:r>
        <w:rPr>
          <w:rFonts w:ascii="Times New Roman" w:cs="Times New Roman" w:eastAsia="Times New Roman" w:hAnsi="Times New Roman"/>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Screenshots. Final-state screenshots from VWA agent trajectories are 1280x2048 PNG (portrait, 5:8 aspect ratio). They are sent to each provider without any resizing or compression, base64-encoded. Reference screenshots from human trajectories are 800x446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1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720"/>
        <w:gridCol w:w="720"/>
        <w:gridCol w:w="720"/>
        <w:gridCol w:w="720"/>
        <w:gridCol w:w="720"/>
        <w:tblGridChange w:id="0">
          <w:tblGrid>
            <w:gridCol w:w="720"/>
            <w:gridCol w:w="720"/>
            <w:gridCol w:w="720"/>
            <w:gridCol w:w="720"/>
            <w:gridCol w:w="720"/>
            <w:gridCol w:w="7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Max output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 (gpt-4.1, mini,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data URL base64, </w:t>
            </w:r>
            <w:r>
              <w:rPr>
                <w:rFonts w:ascii="Times New Roman" w:cs="Times New Roman" w:eastAsia="Times New Roman" w:hAnsi="Times New Roman"/>
                <w:color w:val="188038"/>
                <w:sz w:val="20"/>
                <w:szCs w:val="20"/>
                <w:rtl w:val="0"/>
              </w:rPr>
              <w:t xml:space="preserve">image_url</w:t>
            </w:r>
            <w:r>
              <w:rPr>
                <w:rFonts w:ascii="Times New Roman" w:cs="Times New Roman" w:eastAsia="Times New Roman" w:hAnsi="Times New Roman"/>
                <w:sz w:val="20"/>
                <w:szCs w:val="20"/>
                <w:rtl w:val="0"/>
              </w:rPr>
              <w:t xml:space="preserve"> block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detail: "high"</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Direct API; provider may downscale internally above its native cap.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(claude-sonnet-4)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source: base64</w:t>
            </w:r>
            <w:r>
              <w:rPr>
                <w:rFonts w:ascii="Times New Roman" w:cs="Times New Roman" w:eastAsia="Times New Roman" w:hAnsi="Times New Roman"/>
                <w:sz w:val="20"/>
                <w:szCs w:val="20"/>
                <w:rtl w:val="0"/>
              </w:rPr>
              <w:t xml:space="preserve">, native PNG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 (native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auto-rescales to 1568px on the long edge if larger.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 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inline_data</w:t>
            </w:r>
            <w:r>
              <w:rPr>
                <w:rFonts w:ascii="Times New Roman" w:cs="Times New Roman" w:eastAsia="Times New Roman" w:hAnsi="Times New Roman"/>
                <w:sz w:val="20"/>
                <w:szCs w:val="20"/>
                <w:rtl w:val="0"/>
              </w:rPr>
              <w:t xml:space="preserve"> parts, base64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4096</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does not accept exact 0; we use the smallest legal value. Gemini 3.x charges internal reasoning tokens against max_output_tokens, so a 512-token cap truncated most responses mid-JSON; we raise the cap to 4096 and request response_mime_type=application/json. The visible answer remains ~80 tokens, comparable to the other providers.</w:t>
            </w:r>
          </w:p>
        </w:tc>
      </w:tr>
    </w:tbl>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3 with exponential backoff (1s, 2s, 4s). Persistent failures are logged as </w:t>
      </w:r>
      <w:r>
        <w:rPr>
          <w:rFonts w:ascii="Times New Roman" w:cs="Times New Roman" w:eastAsia="Times New Roman" w:hAnsi="Times New Roman"/>
          <w:color w:val="188038"/>
          <w:sz w:val="20"/>
          <w:szCs w:val="20"/>
          <w:rtl w:val="0"/>
        </w:rPr>
        <w:t xml:space="preserve">verdict: API_ERROR</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of the full study is reported in Section 5.6 ($35.04 across 10,560 calls). Reproducing the entire study costs less than the cost of a single human evaluator-day at typical contractor rates, this is the practical sense in which the recommended intervention is &amp;amp;quot;low cost.&amp;amp;quot;</w:t>
      </w:r>
      <w:r>
        <w:rPr>
          <w:rFonts w:ascii="Times New Roman" w:cs="Times New Roman" w:eastAsia="Times New Roman" w:hAnsi="Times New Roman"/>
          <w:sz w:val="20"/>
          <w:szCs w:val="20"/>
          <w:rtl w:val="0"/>
        </w:rPr>
        <w:t xml:space="preserve"/>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sz w:val="20"/>
          <w:szCs w:val="20"/>
        </w:rPr>
      </w:pPr>
      <w:bookmarkStart w:colFirst="0" w:colLast="0" w:name="_be79miqmv2ma" w:id="22"/>
      <w:bookmarkEnd w:id="22"/>
      <w:r>
        <w:rPr>
          <w:rFonts w:ascii="Times New Roman" w:cs="Times New Roman" w:eastAsia="Times New Roman" w:hAnsi="Times New Roman"/>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results/S1_paired_tests.csv, with the matched instance IDs behind each test in results/S1_task_ids/. Bonferroni-significant pairs at α'=0.05/30=0.00167 (the same set survives Holm-Bonferroni step-down) are: GPT-4.1 Nano A→B; GPT-4.1 Mini A→B and A→D; GPT-4.1 A→B and B→C; Claude Sonnet 4 A→B. Four of the six are A→B comparisons, covering every model except Gemini 3.6 Flash, whose A→B change is not significant (p=0.450). Only one contrast involving visual references survives correction, GPT-4.1's B→C, so the earlier claim that visual references degrade most models does not hold at this significance threshold and is presented as suggestive in Section 5.1.</w:t>
      </w:r>
      <w:r>
        <w:rPr>
          <w:rFonts w:ascii="Times New Roman" w:cs="Times New Roman" w:eastAsia="Times New Roman" w:hAnsi="Times New Roman"/>
          <w:color w:val="188038"/>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 Id="rId42" Type="http://schemas.openxmlformats.org/officeDocument/2006/relationships/image" Target="media/fig1_new.png"/><Relationship Id="rId43" Type="http://schemas.openxmlformats.org/officeDocument/2006/relationships/image" Target="media/fig5_new.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