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&amp;lt;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controlled comparison of reference modalities for LMM post-hoc verification on a fixed set of VWA trajectories, spanning three closed-API model families. Text references improve accuracy by 6.2 to 20.6 percentage points for four of the five verifiers, each significant after Bonferroni correction, while the fifth gains little and already has the strongest no-reference baseline. Visual references are model-dependent on the 147-instance subset: they degrade GPT-4.1 and GPT-4.1 Nano, improve GPT-4.1 Mini and Claude Sonnet 4, and leave Gemini 3.6 Flash unchanged.</w:t>
      </w:r>
      <w:r>
        <w:rPr>
          <w:rFonts w:ascii="Times New Roman" w:cs="Times New Roman" w:eastAsia="Times New Roman" w:hAnsi="Times New Roman"/>
          <w:sz w:val="20"/>
          <w:szCs w:val="20"/>
          <w:rtl w:val="0"/>
        </w:rPr>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 together with an inter-annotator agreement study of the taxonomy it relies on. The agreement study returned Cohen's kappa of 0.000, so we report the breakdown descriptively and withdraw the claim that references act selectively on deceptive failures.</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 For the 147 visual-reference instances we compute the Structural Similarity Index between each agent screenshot and its human reference screenshot. The two are resampled to a common 800x446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r>
        <w:rPr>
          <w:rFonts w:ascii="Times New Roman" w:cs="Times New Roman" w:eastAsia="Times New Roman" w:hAnsi="Times New Roman"/>
          <w:sz w:val="20"/>
          <w:szCs w:val="20"/>
          <w:rtl w:val="0"/>
        </w:rPr>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[.255,.389]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 [.812,.861]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 [.417,.557]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 [.599,.748]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 [.222,.500]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[.662,.810]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 [.200,.525]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[.607,.669]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[.344,.446]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 [.820,.867]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 [.546,.663]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 [.660,.803]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 [.179,.486]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[.694,.830]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 [.308,.613]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[.671,.731]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[.380,.490]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 [.796,.846]</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 [.477,.603]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 [.503,.667]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 [.244,.494]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 [.565,.721]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 [.270,.527]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 [.845,.889]</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 [.562,.688]</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 [.735,.871]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 [.441,.719]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[.677,.827]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 [.338,.630]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.779 [.754,.807]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.501 [.440,.559]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.788 [.760,.814]</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.514 [.453,.571]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.744</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 [.714,.850]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 [.373,.676]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 [.748,.871]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 [.421,.714]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r>
        <w:rPr>
          <w:rFonts w:ascii="Times New Roman" w:cs="Times New Roman" w:eastAsia="Times New Roman" w:hAnsi="Times New Roman"/>
          <w:sz w:val="20"/>
          <w:szCs w:val="20"/>
          <w:rtl w:val="0"/>
        </w:rPr>
        <w:t xml:space="preserve"/>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r>
        <w:rPr>
          <w:rFonts w:ascii="Cardo" w:cs="Cardo" w:eastAsia="Cardo" w:hAnsi="Cardo"/>
          <w:sz w:val="20"/>
          <w:szCs w:val="20"/>
          <w:rtl w:val="0"/>
        </w:rPr>
        <w:t xml:space="preserve"/>
      </w:r>
      <w:r>
        <w:rPr>
          <w:rFonts w:ascii="Times New Roman" w:cs="Times New Roman" w:eastAsia="Times New Roman" w:hAnsi="Times New Roman"/>
          <w:i w:val="1"/>
          <w:iCs w:val="1"/>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rarely outperform text-only (B).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r>
        <w:rPr>
          <w:rFonts w:ascii="Cardo" w:cs="Cardo" w:eastAsia="Cardo" w:hAnsi="Cardo"/>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
              <w:t>χ²=17.8, p=2e-05*</w:t>
            </w:r>
          </w:p>
        </w:tc>
        <w:tc>
          <w:tcPr>
            <w:shd w:fill="auto" w:val="clear"/>
            <w:tcMar>
              <w:top w:w="100.0" w:type="dxa"/>
              <w:left w:w="100.0" w:type="dxa"/>
              <w:bottom w:w="100.0" w:type="dxa"/>
              <w:right w:w="100.0" w:type="dxa"/>
            </w:tcMar>
            <w:vAlign w:val="top"/>
          </w:tcPr>
          <w:p>
            <w:r>
              <w:t>χ²=2.9, p=0.091</w:t>
            </w:r>
          </w:p>
        </w:tc>
        <w:tc>
          <w:tcPr>
            <w:shd w:fill="auto" w:val="clear"/>
            <w:tcMar>
              <w:top w:w="100.0" w:type="dxa"/>
              <w:left w:w="100.0" w:type="dxa"/>
              <w:bottom w:w="100.0" w:type="dxa"/>
              <w:right w:w="100.0" w:type="dxa"/>
            </w:tcMar>
            <w:vAlign w:val="top"/>
          </w:tcPr>
          <w:p>
            <w:r>
              <w:t>χ²=7.5, p=0.006</w:t>
            </w:r>
          </w:p>
        </w:tc>
        <w:tc>
          <w:tcPr>
            <w:shd w:fill="auto" w:val="clear"/>
            <w:tcMar>
              <w:top w:w="100.0" w:type="dxa"/>
              <w:left w:w="100.0" w:type="dxa"/>
              <w:bottom w:w="100.0" w:type="dxa"/>
              <w:right w:w="100.0" w:type="dxa"/>
            </w:tcMar>
            <w:vAlign w:val="top"/>
          </w:tcPr>
          <w:p>
            <w:r>
              <w:t>χ²=2.9, p=0.091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
              <w:t>χ²=132.6, p=0e+00*</w:t>
            </w:r>
          </w:p>
        </w:tc>
        <w:tc>
          <w:tcPr>
            <w:shd w:fill="auto" w:val="clear"/>
            <w:tcMar>
              <w:top w:w="100.0" w:type="dxa"/>
              <w:left w:w="100.0" w:type="dxa"/>
              <w:bottom w:w="100.0" w:type="dxa"/>
              <w:right w:w="100.0" w:type="dxa"/>
            </w:tcMar>
            <w:vAlign w:val="top"/>
          </w:tcPr>
          <w:p>
            <w:r>
              <w:t>χ²=5.8, p=0.016</w:t>
            </w:r>
          </w:p>
        </w:tc>
        <w:tc>
          <w:tcPr>
            <w:shd w:fill="auto" w:val="clear"/>
            <w:tcMar>
              <w:top w:w="100.0" w:type="dxa"/>
              <w:left w:w="100.0" w:type="dxa"/>
              <w:bottom w:w="100.0" w:type="dxa"/>
              <w:right w:w="100.0" w:type="dxa"/>
            </w:tcMar>
            <w:vAlign w:val="top"/>
          </w:tcPr>
          <w:p>
            <w:r>
              <w:t>χ²=2.6, p=0.110</w:t>
            </w:r>
          </w:p>
        </w:tc>
        <w:tc>
          <w:tcPr>
            <w:shd w:fill="auto" w:val="clear"/>
            <w:tcMar>
              <w:top w:w="100.0" w:type="dxa"/>
              <w:left w:w="100.0" w:type="dxa"/>
              <w:bottom w:w="100.0" w:type="dxa"/>
              <w:right w:w="100.0" w:type="dxa"/>
            </w:tcMar>
            <w:vAlign w:val="top"/>
          </w:tcPr>
          <w:p>
            <w:r>
              <w:t>χ²=0.6, p=0.441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
              <w:t>χ²=60.0, p=9e-15*</w:t>
            </w:r>
          </w:p>
        </w:tc>
        <w:tc>
          <w:tcPr>
            <w:shd w:fill="auto" w:val="clear"/>
            <w:tcMar>
              <w:top w:w="100.0" w:type="dxa"/>
              <w:left w:w="100.0" w:type="dxa"/>
              <w:bottom w:w="100.0" w:type="dxa"/>
              <w:right w:w="100.0" w:type="dxa"/>
            </w:tcMar>
            <w:vAlign w:val="top"/>
          </w:tcPr>
          <w:p>
            <w:r>
              <w:t>χ²=5.0, p=0.025</w:t>
            </w:r>
          </w:p>
        </w:tc>
        <w:tc>
          <w:tcPr>
            <w:shd w:fill="auto" w:val="clear"/>
            <w:tcMar>
              <w:top w:w="100.0" w:type="dxa"/>
              <w:left w:w="100.0" w:type="dxa"/>
              <w:bottom w:w="100.0" w:type="dxa"/>
              <w:right w:w="100.0" w:type="dxa"/>
            </w:tcMar>
            <w:vAlign w:val="top"/>
          </w:tcPr>
          <w:p>
            <w:r>
              <w:t>χ²=16.0, p=6e-05*</w:t>
            </w:r>
          </w:p>
        </w:tc>
        <w:tc>
          <w:tcPr>
            <w:shd w:fill="auto" w:val="clear"/>
            <w:tcMar>
              <w:top w:w="100.0" w:type="dxa"/>
              <w:left w:w="100.0" w:type="dxa"/>
              <w:bottom w:w="100.0" w:type="dxa"/>
              <w:right w:w="100.0" w:type="dxa"/>
            </w:tcMar>
            <w:vAlign w:val="top"/>
          </w:tcPr>
          <w:p>
            <w:r>
              <w:t>χ²=8.2, p=0.004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
              <w:t>χ²=41.3, p=1e-10*</w:t>
            </w:r>
          </w:p>
        </w:tc>
        <w:tc>
          <w:tcPr>
            <w:shd w:fill="auto" w:val="clear"/>
            <w:tcMar>
              <w:top w:w="100.0" w:type="dxa"/>
              <w:left w:w="100.0" w:type="dxa"/>
              <w:bottom w:w="100.0" w:type="dxa"/>
              <w:right w:w="100.0" w:type="dxa"/>
            </w:tcMar>
            <w:vAlign w:val="top"/>
          </w:tcPr>
          <w:p>
            <w:r>
              <w:t>exact, p=0.832</w:t>
            </w:r>
          </w:p>
        </w:tc>
        <w:tc>
          <w:tcPr>
            <w:shd w:fill="auto" w:val="clear"/>
            <w:tcMar>
              <w:top w:w="100.0" w:type="dxa"/>
              <w:left w:w="100.0" w:type="dxa"/>
              <w:bottom w:w="100.0" w:type="dxa"/>
              <w:right w:w="100.0" w:type="dxa"/>
            </w:tcMar>
            <w:vAlign w:val="top"/>
          </w:tcPr>
          <w:p>
            <w:r>
              <w:t>exact, p=0.405</w:t>
            </w:r>
          </w:p>
        </w:tc>
        <w:tc>
          <w:tcPr>
            <w:shd w:fill="auto" w:val="clear"/>
            <w:tcMar>
              <w:top w:w="100.0" w:type="dxa"/>
              <w:left w:w="100.0" w:type="dxa"/>
              <w:bottom w:w="100.0" w:type="dxa"/>
              <w:right w:w="100.0" w:type="dxa"/>
            </w:tcMar>
            <w:vAlign w:val="top"/>
          </w:tcPr>
          <w:p>
            <w:r>
              <w:t>χ²=4.7, p=0.031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
              <w:t>χ²=0.6, p=0.450</w:t>
            </w:r>
          </w:p>
        </w:tc>
        <w:tc>
          <w:tcPr>
            <w:shd w:fill="auto" w:val="clear"/>
            <w:tcMar>
              <w:top w:w="100.0" w:type="dxa"/>
              <w:left w:w="100.0" w:type="dxa"/>
              <w:bottom w:w="100.0" w:type="dxa"/>
              <w:right w:w="100.0" w:type="dxa"/>
            </w:tcMar>
            <w:vAlign w:val="top"/>
          </w:tcPr>
          <w:p>
            <w:r>
              <w:t>exact, p=1.000</w:t>
            </w:r>
          </w:p>
        </w:tc>
        <w:tc>
          <w:tcPr>
            <w:shd w:fill="auto" w:val="clear"/>
            <w:tcMar>
              <w:top w:w="100.0" w:type="dxa"/>
              <w:left w:w="100.0" w:type="dxa"/>
              <w:bottom w:w="100.0" w:type="dxa"/>
              <w:right w:w="100.0" w:type="dxa"/>
            </w:tcMar>
            <w:vAlign w:val="top"/>
          </w:tcPr>
          <w:p>
            <w:r>
              <w:t>exact, p=0.332</w:t>
            </w:r>
          </w:p>
        </w:tc>
        <w:tc>
          <w:tcPr>
            <w:shd w:fill="auto" w:val="clear"/>
            <w:tcMar>
              <w:top w:w="100.0" w:type="dxa"/>
              <w:left w:w="100.0" w:type="dxa"/>
              <w:bottom w:w="100.0" w:type="dxa"/>
              <w:right w:w="100.0" w:type="dxa"/>
            </w:tcMar>
            <w:vAlign w:val="top"/>
          </w:tcPr>
          <w:p>
            <w: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Cardo" w:cs="Cardo" w:eastAsia="Cardo" w:hAnsi="Cardo"/>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cross-generator results show a more nuanced picture than the original A→B comparison: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6: Cross-generator results (Claude Sonnet 4 references, 147-subset). Acc=accuracy, lift=A−B difference, McNemar p-value vs. A.</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No model shows significant benefit when evaluation criteria are removed:</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7: No-criteria ablation results. Same format as Table 6. All values on the 147-subset.</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 Failure types are the original single-annotator labels, which a two-annotator study found not to be reproducible (Cohen's kappa 0.000, Section 5.3); the rows are descriptive and are not used to support any claim.</w:t>
      </w:r>
      <w:r>
        <w:rPr>
          <w:rFonts w:ascii="Times New Roman" w:cs="Times New Roman" w:eastAsia="Times New Roman" w:hAnsi="Times New Roman"/>
          <w:sz w:val="20"/>
          <w:szCs w:val="20"/>
          <w:rtl w:val="0"/>
        </w:rPr>
        <w:t xml:space="preserve"/>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.830 (+.065)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.925 (+.085)</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(+.279)</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(+.164)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.812 (+.040)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.868 (+.128)</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.980 (+.089)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.724 (+.013)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 (+.014)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r>
        <w:rPr>
          <w:rFonts w:ascii="Times New Roman" w:cs="Times New Roman" w:eastAsia="Times New Roman" w:hAnsi="Times New Roman"/>
          <w:sz w:val="20"/>
          <w:szCs w:val="20"/>
          <w:rtl w:val="0"/>
        </w:rPr>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also bears on Condition C: a verifier that leans on surface similarity rather than semantic comparison will be misled by a reference screenshot, which is consistent with GPT-4.1 showing the largest Condition C drop. It does not explain the whole pattern, since GPT-4.1 Mini improves under the same condition, so surface anchoring is at best a partial account.</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.280 / .314 / .327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 / .306 / .312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.173 / .199 / .231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 / .160 / .206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 / .413 / .414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 .340 / .353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 / .030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 / .046 / .106</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.033 / .099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.068 / .118 / .171</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.184 / .178 / .204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 / .184 / .203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.197 / .183 / .207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Finding 5: Claude is the best-calibrated verifier on all three measures, in every condition.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br/>
        <w:br/>
        <w:br/>
        <w:t>Figure 5: Calibration reliability diagrams for Conditions A and B across all five models.</w:t>
      </w:r>
      <w:r>
        <w:rPr>
          <w:rFonts w:ascii="Times New Roman" w:cs="Times New Roman" w:eastAsia="Times New Roman" w:hAnsi="Times New Roman"/>
          <w:sz w:val="20"/>
          <w:szCs w:val="20"/>
          <w:rtl w:val="0"/>
        </w:rPr>
      </w:r>
      <w:r>
        <w:rPr/>
      </w:r>
      <w:r>
        <w:rPr>
          <w:rtl w:val="0"/>
        </w:rPr>
      </w:r>
      <w:r>
        <w:rPr>
          <w:rFonts w:ascii="Times New Roman" w:cs="Times New Roman" w:eastAsia="Times New Roman" w:hAnsi="Times New Roman"/>
          <w:sz w:val="20"/>
          <w:szCs w:val="20"/>
          <w:rtl w:val="0"/>
        </w:rPr>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(&amp;gt;99%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 calibration (A→B: ECE_15bin drops for GPT-4.1 Mini from 0.301 to 0.093 and for GPT-4.1 from 0.262 to 0.161), while visual references worsen it for GPT-4.1 (A→C: ECE_15bin rises to 0.413). GPT-4.1 Mini is the counterexample here too, improving to 0.199 under Condition C, so the calibration picture mirrors the accuracy picture rather than splitting cleanly along model families.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 GPT-4.1 Nano $0.75, GPT-4.1 Mini $2.15, GPT-4.1 $7.51, Claude Sonnet 4 $21.75, Gemini 3.6 Flash $2.88. Per-call cost ranges from $0.00029 (GPT-4.1 Nano) to $0.0100 (Claude Sonnet 4). Mean per-call latency in Condition B ranges from 3.2s (GPT-4.1 Mini) to 8.3s (Gemini 3.6 Flash). Adding a text reference (A→B) increases per-call cost by less than 10% on average and per-call latency negligibly, supporting the practical recommendation in Section 6: text references are a near-zero-cost upgrade.</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9: Measured cost and latency. Total $ is the cost of all four conditions for that model; the per-call and latency columns are Condition B, the recommended configuration. Cost uses the provider list prices recorded in config.py at the time of the runs; latency is wall-clock per API call and so includes provider queueing. Per-condition figures for all twenty runs are in results/revision_cost_latency.csv.</w:t>
      </w:r>
    </w:p>
    <w:tbl>
      <w:tblPr>
        <w:tblStyle w:val="Table5"/>
        <w:tblW w:w="3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560"/>
        <w:gridCol w:w="700"/>
        <w:gridCol w:w="640"/>
        <w:gridCol w:w="600"/>
      </w:tblGrid>
      <w:tr>
        <w:trPr>
          <w:cantSplit w:val="0"/>
          <w:tblHeader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Total $</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$/call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Mean s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p95 s (B)</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0.00029</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0.00086</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4.2</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0.00353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14.7</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0.01002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11.1</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2.88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0.00127</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24.4</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[26].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Invest in text reference generation with evaluation criteria.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r>
        <w:rPr>
          <w:rFonts w:ascii="Times New Roman" w:cs="Times New Roman" w:eastAsia="Times New Roman" w:hAnsi="Times New Roman"/>
          <w:sz w:val="20"/>
          <w:szCs w:val="20"/>
          <w:rtl w:val="0"/>
        </w:rPr>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 Visual references should be tested per-model before deployment: they harm GPT-4.1 and GPT-4.1 Nano, help GPT-4.1 Mini and Claude Sonnet 4, and leave Gemini essentially unchanged.</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r>
        <w:rPr>
          <w:rFonts w:ascii="Times New Roman" w:cs="Times New Roman" w:eastAsia="Times New Roman" w:hAnsi="Times New Roman"/>
          <w:sz w:val="20"/>
          <w:szCs w:val="20"/>
          <w:rtl w:val="0"/>
        </w:rPr>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[18], [19] that should be interpreted only after the calibration analysis (Section 5.5).</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x 6 condition pairs) at family-wise α=0.05; 6 of 30 tests are significant under both corrections (Appendix I, results/revision_bonferroni.csv). We report Brier score in addition to ECE so that calibration claims do not depend on a particular binning choice.</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verification for web agents. Across 909 VisualWebArena trajectories, four reference conditions, and five frontier closed-API models from three families, three findings hold in this setting: text references improve verification substantially for four of the five verifiers and negligibly for the fifth; visual references are model-dependent on the 147-instance subset, degrading two verifiers, improving two, and leaving one unchanged; and adding a reference screenshot on top of a text reference helps only one model.</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.768 (358/466)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.751 (175/233)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Screenshots. Final-state screenshots from VWA agent trajectories are 1280x2048 PNG (portrait, 5:8 aspect ratio). They are sent to each provider without any resizing or compression,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 Gemini 3.x charges internal reasoning tokens against max_output_tokens, so a 512-token cap truncated most responses mid-JSON; we raise the cap to 4096 and request response_mime_type=application/json. The visible answer remains ~80 tokens, comparable to the other providers.</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&amp;amp;quot;low cost.&amp;amp;quot;</w:t>
      </w:r>
      <w:r>
        <w:rPr>
          <w:rFonts w:ascii="Times New Roman" w:cs="Times New Roman" w:eastAsia="Times New Roman" w:hAnsi="Times New Roman"/>
          <w:sz w:val="20"/>
          <w:szCs w:val="20"/>
          <w:rtl w:val="0"/>
        </w:rPr>
        <w:t xml:space="preserve"/>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