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Reviewers</w:t>
      </w:r>
    </w:p>
    <w:p/>
    <w:p>
      <w:r>
        <w:t>Dear Editor and Reviewers,</w:t>
      </w:r>
    </w:p>
    <w:p/>
    <w:p>
      <w:r>
        <w:t>We thank the reviewers for their thorough and constructive feedback. We have addressed all concerns below, with specific changes highlighted in the revised manuscript. Each response includes the reviewer concern, our response, and the specific action taken.</w:t>
      </w:r>
    </w:p>
    <w:p/>
    <w:p>
      <w:pPr>
        <w:pStyle w:val="Heading2"/>
      </w:pPr>
      <w:r>
        <w:t>Reviewer #1</w:t>
      </w:r>
    </w:p>
    <w:p/>
    <w:p>
      <w:pPr>
        <w:pStyle w:val="Heading3"/>
      </w:pPr>
      <w:r>
        <w:t>R1-1: Reference-Generation Circularity</w:t>
      </w:r>
    </w:p>
    <w:p/>
    <w:p>
      <w:r>
        <w:t>Reviewer Concern: "Textual references are generated using GPT-4.1 Nano, which is itself one of the evaluated verifier models. Only a random 10% of these references were manually checked. This creates a potential reference-generation circularity and reference-quality confound."</w:t>
      </w:r>
    </w:p>
    <w:p/>
    <w:p>
      <w:r>
        <w:t>Response: We acknowledge this concern and have addressed it through two complementary approaches: (1) We regenerated text references using Claude Sonnet 4 as an independent generator and re-ran all five verifiers on these cross-model references. The A→B effect persists (Nano: 77.4% → 80.3%, Mini: 63.8% → 77.3%, GPT-4.1: 70.0% → 77.3%, Claude: 77.4% → 86.7%, Gemini: 80.9% → 81.0%), confirming the finding is not an artifact of self-agreement. (2) We added a text-reference quality ablation study with three perturbed variants (short, noisy, wrong) across all five models, showing that reference quality matters: wrong references reduce accuracy to near-chance levels while short/noisy references maintain most of the benefit.</w:t>
      </w:r>
    </w:p>
    <w:p/>
    <w:p>
      <w:r>
        <w:t>Action Taken: Added cross-model verification results (Table 8), text-reference quality ablation (Table 3), and released the regeneration script for replication.</w:t>
      </w:r>
    </w:p>
    <w:p/>
    <w:p>
      <w:pPr>
        <w:pStyle w:val="Heading2"/>
      </w:pPr>
      <w:r>
        <w:t>Reviewer #2</w:t>
      </w:r>
    </w:p>
    <w:p/>
    <w:p>
      <w:pPr>
        <w:pStyle w:val="Heading3"/>
      </w:pPr>
      <w:r>
        <w:t>R2-1: Reconcile Paired Statistical Results</w:t>
      </w:r>
    </w:p>
    <w:p/>
    <w:p>
      <w:r>
        <w:t>Reviewer Concern: "For Nano, conditions A and B each have 899 valid responses among 909 tasks... the Table 5 values 37.0 and 79.4 exceed these bounds. Please reconcile the tables and calculation method."</w:t>
      </w:r>
    </w:p>
    <w:p/>
    <w:p>
      <w:r>
        <w:t>Response: We identified the root cause: the original Nano condition C results contained 909 instances (the full dataset) instead of the intended 147-instance visual subset. This made all McNemar tests involving Nano C invalid. We have recomputed all 30 paired comparisons using the correct subset, with mathematical bounds verification. All new values satisfy the constraint |b-c| ≤ n. The corrected values are: Nano A→B χ²=17.0, A→C χ²=8.6, B→C χ²=14.0; all other model comparisons are unchanged.</w:t>
      </w:r>
    </w:p>
    <w:p/>
    <w:p>
      <w:r>
        <w:t>Action Taken: Recomputed all McNemar statistics with verified bounds (Table 5), added paired test script with mathematical verification (scripts/paired_tests.py), and saved corrected results (results/S1_paired_tests.csv).</w:t>
      </w:r>
    </w:p>
    <w:p/>
    <w:p>
      <w:pPr>
        <w:pStyle w:val="Heading3"/>
      </w:pPr>
      <w:r>
        <w:t>R2-2: Text-Reference Information Confound</w:t>
      </w:r>
    </w:p>
    <w:p/>
    <w:p>
      <w:r>
        <w:t>Reviewer Concern: "Textual references are described as generated from task descriptions and VisualWebArena evaluation criteria, whereas the deployment discussion suggests that task specifications alone suffice. Please provide the exact generator inputs and prompts."</w:t>
      </w:r>
    </w:p>
    <w:p/>
    <w:p>
      <w:r>
        <w:t>Response: We clarify that text references are generated from both task descriptions AND evaluation criteria, as the criteria define what constitutes success. We have added: (1) The exact generator prompt in Appendix A, (2) A controlled comparison showing that references generated without eval_criteria perform similarly (Nano: 76.0% vs 77.3%), suggesting the benefit comes from the natural-language description rather than criterion leakage, (3) Representative field-level examples in Appendix G.</w:t>
      </w:r>
    </w:p>
    <w:p/>
    <w:p>
      <w:r>
        <w:t>Action Taken: Added generator prompt (Appendix A), no-criteria ablation results, and representative examples (Appendix G).</w:t>
      </w:r>
    </w:p>
    <w:p/>
    <w:p>
      <w:pPr>
        <w:pStyle w:val="Heading3"/>
      </w:pPr>
      <w:r>
        <w:t>R2-3: Visual Reference Confounding</w:t>
      </w:r>
    </w:p>
    <w:p/>
    <w:p>
      <w:r>
        <w:t>Reviewer Concern: "Actual screenshots are 1280 by 2048 PNG images, whereas reference images are 800 by 446 JPEG images... Resizing alone will not necessarily align page coverage."</w:t>
      </w:r>
    </w:p>
    <w:p/>
    <w:p>
      <w:r>
        <w:t>Response: We acknowledge the resolution confound. We have: (1) Resized all screenshots and references to matched 800×446 JPEG format for consistent comparison, (2) Added non-LLM baselines (pHash: 69.4% accuracy, SSIM: 23.6% accuracy) showing pixel-level methods are uninformative, (3) Clarified that visual reference comparisons are restricted to the tested setup and do not establish general ineffectiveness. The revised abstract now reports visual-subset A values (e.g., GPT-4.1 69.2% → 54.1%) rather than mixing full-dataset A values.</w:t>
      </w:r>
    </w:p>
    <w:p/>
    <w:p>
      <w:r>
        <w:t>Action Taken: Resized all images to matched resolution, added non-LLM baselines (Table 6), corrected abstract to use visual-subset values, and clarified scope of conclusions.</w:t>
      </w:r>
    </w:p>
    <w:p/>
    <w:p>
      <w:pPr>
        <w:pStyle w:val="Heading3"/>
      </w:pPr>
      <w:r>
        <w:t>R2-4: Correct Error-Rate Definitions</w:t>
      </w:r>
    </w:p>
    <w:p/>
    <w:p>
      <w:r>
        <w:t>Reviewer Concern: "The values 228/908 = 25.1% and 60/146 = 41.1% are false positives divided by all observations, not the conventional false-positive rate FP/(FP+TN)."</w:t>
      </w:r>
    </w:p>
    <w:p/>
    <w:p>
      <w:r>
        <w:t>Response: We acknowledge the terminology error. We have: (1) Corrected all FPR definitions to use FP/(FP+TN), (2) Added success-prediction precision (e.g., Claude B: TP=100, FP=72, precision=58.1%), (3) Added risk-coverage curves and escalation rates (Table 9), (4) Clarified that overall accuracy and ECE alone do not establish reliability of automatic SUCCESS predictions.</w:t>
      </w:r>
    </w:p>
    <w:p/>
    <w:p>
      <w:r>
        <w:t>Action Taken: Corrected FPR definitions, added success-prediction precision (Table 9), risk-coverage analysis (Appendix F), and escalation rate calculations.</w:t>
      </w:r>
    </w:p>
    <w:p/>
    <w:p>
      <w:pPr>
        <w:pStyle w:val="Heading3"/>
      </w:pPr>
      <w:r>
        <w:t>R2-5: Invalid-Response Exclusions</w:t>
      </w:r>
    </w:p>
    <w:p/>
    <w:p>
      <w:r>
        <w:t>Reviewer Concern: "Claude's visual condition excludes 18 of 147 outputs and reports accuracy of 97/129 = 75.2%. Treating invalid outputs as unsuccessful verification attempts yields 97/147 = 66.0%."</w:t>
      </w:r>
    </w:p>
    <w:p/>
    <w:p>
      <w:r>
        <w:t>Response: We have: (1) Added valid-response rates for all conditions (Table 4), (2) Reported all-task operational results with invalid responses treated as failures, (3) Distinguished API failures from parsing failures (Appendix D), (4) Added parse-error bias check showing no significant deviation in ground-truth distribution between valid and invalid subsets. We agree that different operational policies (exclude vs. treat as failure vs. escalate to human) have different implications and have documented all three.</w:t>
      </w:r>
    </w:p>
    <w:p/>
    <w:p>
      <w:r>
        <w:t>Action Taken: Added valid-response rates (Table 4), all-task operational results, parse-error bias check (Appendix D), and documented different operational policies.</w:t>
      </w:r>
    </w:p>
    <w:p/>
    <w:p>
      <w:pPr>
        <w:pStyle w:val="Heading3"/>
      </w:pPr>
      <w:r>
        <w:t>R2-6: Terminology and Failure-Type Conclusions</w:t>
      </w:r>
    </w:p>
    <w:p/>
    <w:p>
      <w:r>
        <w:t>Reviewer Concern: "All action trajectories originate from a GPT-4V plus Set-of-Mark actor and are judged retrospectively by other models. Please define the intended system-level meaning of self-verification."</w:t>
      </w:r>
    </w:p>
    <w:p/>
    <w:p>
      <w:r>
        <w:t>Response: We clarify that this is post-hoc task verification, not closed-loop self-verification. We have: (1) Revised terminology throughout to "post-hoc verification" where appropriate, (2) Labeled Section 5.3 (Failure Type Analysis) as "Exploratory" due to single-annotator limitations, (3) Corrected the "nearly doubles" claim to "increases by about 1.5-fold (56.1% to 84.0%)", (4) Noted that Mini and GPT-4.1 gain more on obvious failures, making the deceptive-failure claim non-universal, (5) Added IAA results (κ=0.116) and labeled taxonomy as exploratory.</w:t>
      </w:r>
    </w:p>
    <w:p/>
    <w:p>
      <w:r>
        <w:t>Action Taken: Revised terminology, labeled Section 5.3 as exploratory, corrected numerical claims, added IAA results, and removed Finding 4 from abstract.</w:t>
      </w:r>
    </w:p>
    <w:p/>
    <w:p>
      <w:pPr>
        <w:pStyle w:val="Heading3"/>
      </w:pPr>
      <w:r>
        <w:t>R2-7: Supporting Analyses Accessibility</w:t>
      </w:r>
    </w:p>
    <w:p/>
    <w:p>
      <w:r>
        <w:t>Reviewer Concern: "Please provide a stable, versioned location for the code, per-task predictions, confidence scores, errors, reference contents, model snapshots, experimental dates, and analysis configuration."</w:t>
      </w:r>
    </w:p>
    <w:p/>
    <w:p>
      <w:r>
        <w:t>Response: We have made all materials available at https://github.com/shravaniparsi/agentic-ui-test with: (1) Complete analysis scripts, (2) Per-task predictions and confidence scores, (3) Reference contents and variants, (4) All experimental results, (5) Figure regeneration scripts. The text-reference quality ablation results (short/noisy/wrong variants) are now included for all five models (Table 3).</w:t>
      </w:r>
    </w:p>
    <w:p/>
    <w:p>
      <w:r>
        <w:t>Action Taken: Released complete repository with all scripts, data, and results. Added ablation results for all models (Table 3).</w:t>
      </w:r>
    </w:p>
    <w:p/>
    <w:p>
      <w:pPr>
        <w:pStyle w:val="Heading3"/>
      </w:pPr>
      <w:r>
        <w:t>R2-8: Correct Nearest-Work Attribution</w:t>
      </w:r>
    </w:p>
    <w:p/>
    <w:p>
      <w:r>
        <w:t>Reviewer Concern: "The manuscript labels reference [5], Autonomous Evaluation and Refinement of Digital Agents, as WebJudge. These are distinct works."</w:t>
      </w:r>
    </w:p>
    <w:p/>
    <w:p>
      <w:r>
        <w:t>Response: We apologize for this error. Reference [5] (Pan et al., 2024) is indeed distinct from WebJudge. The correct WebJudge source is Xue et al., COLM 2025 (DOI: 10.48550/arXiv.2504.01382). We have: (1) Corrected the citation mapping, (2) Added Xue et al. as a new reference, (3) Discussed the relationship to prior success-evaluation methods.</w:t>
      </w:r>
    </w:p>
    <w:p/>
    <w:p>
      <w:r>
        <w:t>Action Taken: Corrected reference [5] attribution, added Xue et al. COLM 2025 as new reference, and discussed relationship to prior work.</w:t>
      </w:r>
    </w:p>
    <w:p/>
    <w:p>
      <w:pPr>
        <w:pStyle w:val="Heading2"/>
      </w:pPr>
      <w:r>
        <w:t>Positive Comments from Reviewer #2</w:t>
      </w:r>
    </w:p>
    <w:p/>
    <w:p>
      <w:pPr>
        <w:pStyle w:val="Heading3"/>
      </w:pPr>
      <w:r>
        <w:t>R2-P1: Contribution to Knowledge</w:t>
      </w:r>
    </w:p>
    <w:p/>
    <w:p>
      <w:r>
        <w:t>Reviewer Comment: "The manuscript addresses a useful practical question: whether textual and visual references improve the verification of web-agent task completion."</w:t>
      </w:r>
    </w:p>
    <w:p/>
    <w:p>
      <w:r>
        <w:t>Response: Thank you. We believe this is an important problem for the deployment of autonomous web agents, and our controlled comparison provides useful empirical evidence for the design of verification systems.</w:t>
      </w:r>
    </w:p>
    <w:p/>
    <w:p>
      <w:pPr>
        <w:pStyle w:val="Heading3"/>
      </w:pPr>
      <w:r>
        <w:t>R2-P2: Experimental Design</w:t>
      </w:r>
    </w:p>
    <w:p/>
    <w:p>
      <w:r>
        <w:t>Reviewer Comment: "Comparing four reference conditions across five verifier models, with success-class F1, balanced accuracy, calibration, and cost measures, is potentially informative."</w:t>
      </w:r>
    </w:p>
    <w:p/>
    <w:p>
      <w:r>
        <w:t>Response: Thank you. We designed the experiment to be comprehensive while remaining tractable, and we hope the released harness enables extension to other models and conditions.</w:t>
      </w:r>
    </w:p>
    <w:p/>
    <w:p>
      <w:pPr>
        <w:pStyle w:val="Heading3"/>
      </w:pPr>
      <w:r>
        <w:t>R2-P3: Failure-Type Analysis</w:t>
      </w:r>
    </w:p>
    <w:p/>
    <w:p>
      <w:r>
        <w:t>Reviewer Comment: "The descriptive improvements associated with textual references merit further investigation."</w:t>
      </w:r>
    </w:p>
    <w:p/>
    <w:p>
      <w:r>
        <w:t>Response: Thank you. We agree that the failure-type analysis is intriguing, particularly the finding that references help most with deceptive failures. We have labeled this section as exploratory and added IAA results to acknowledge the limitations of single-annotator taxonomy.</w:t>
      </w:r>
    </w:p>
    <w:p/>
    <w:p>
      <w:pPr>
        <w:pStyle w:val="Heading3"/>
      </w:pPr>
      <w:r>
        <w:t>R2-P4: Calibration Analysis</w:t>
      </w:r>
    </w:p>
    <w:p/>
    <w:p>
      <w:r>
        <w:t>Reviewer Comment: "The calibration analysis and the effort toward reproducibility are also valuable strengths."</w:t>
      </w:r>
    </w:p>
    <w:p/>
    <w:p>
      <w:r>
        <w:t>Response: Thank you. We have expanded the calibration analysis with 15-bin equal-mass ECE and Brier scores, and we continue to prioritize reproducibility through released code and data.</w:t>
      </w:r>
    </w:p>
    <w:p/>
    <w:p>
      <w:pPr>
        <w:pStyle w:val="Heading3"/>
      </w:pPr>
      <w:r>
        <w:t>R2-P5: Released Pipeline</w:t>
      </w:r>
    </w:p>
    <w:p/>
    <w:p>
      <w:r>
        <w:t>Reviewer Comment: "The released pipeline is described as including prompts, dataset preparation, metrics, baselines, and figure regeneration."</w:t>
      </w:r>
    </w:p>
    <w:p/>
    <w:p>
      <w:r>
        <w:t>Response: Thank you. We have ensured that all components are available and documented in the repository, including the new cross-model verification and ablation scripts.</w:t>
      </w:r>
    </w:p>
    <w:p/>
    <w:p>
      <w:pPr>
        <w:pStyle w:val="Heading2"/>
      </w:pPr>
      <w:r>
        <w:t>Reviewer #3</w:t>
      </w:r>
    </w:p>
    <w:p/>
    <w:p>
      <w:pPr>
        <w:pStyle w:val="Heading3"/>
      </w:pPr>
      <w:r>
        <w:t>R3-1: Limited Generalizability</w:t>
      </w:r>
    </w:p>
    <w:p/>
    <w:p>
      <w:r>
        <w:t>Reviewer Concern: "The experiments primarily rely on one benchmark and one source of agent trajectories. Additional validation on other agents or benchmarks would strengthen the conclusions."</w:t>
      </w:r>
    </w:p>
    <w:p/>
    <w:p>
      <w:r>
        <w:t>Response: We acknowledge this limitation. While our study is necessarily constrained to a specific setting (VWA + GPT-4V/SoM), we believe the controlled comparison design provides valuable insights into the role of reference modalities. We have: (1) Clarified that findings are conditional on this setting, (2) Released the complete evaluation harness to enable cross-benchmark replication, (3) Discussed how future work could extend to other agents and benchmarks.</w:t>
      </w:r>
    </w:p>
    <w:p/>
    <w:p>
      <w:r>
        <w:t>Action Taken: Clarified scope of findings, released evaluation harness, and discussed future extensions.</w:t>
      </w:r>
    </w:p>
    <w:p/>
    <w:p>
      <w:pPr>
        <w:pStyle w:val="Heading3"/>
      </w:pPr>
      <w:r>
        <w:t>R3-2: Visual-Reference Confounding</w:t>
      </w:r>
    </w:p>
    <w:p/>
    <w:p>
      <w:r>
        <w:t>Reviewer Concern: "Differences in screenshot resolution, size, and aspect ratio may affect the conclusion that visual references reduce performance."</w:t>
      </w:r>
    </w:p>
    <w:p/>
    <w:p>
      <w:r>
        <w:t>Response: We have addressed this by: (1) Resizing all screenshots and references to matched 800×446 JPEG format, (2) Adding non-LLM baselines (pHash, SSIM) showing pixel-level methods are uninformative, (3) Restricting conclusions to the tested reference setup. The matched-resolution analysis confirms that visual similarity is not predictive of task success in this setting.</w:t>
      </w:r>
    </w:p>
    <w:p/>
    <w:p>
      <w:r>
        <w:t>Action Taken: Resized images to matched resolution, added non-LLM baselines, and restricted conclusions to tested setup.</w:t>
      </w:r>
    </w:p>
    <w:p/>
    <w:p>
      <w:pPr>
        <w:pStyle w:val="Heading3"/>
      </w:pPr>
      <w:r>
        <w:t>R3-3: Text-Reference Validation</w:t>
      </w:r>
    </w:p>
    <w:p/>
    <w:p>
      <w:r>
        <w:t>Reviewer Concern: "Since textual references are LLM-generated, their quality, consistency, and potential bias require more systematic validation."</w:t>
      </w:r>
    </w:p>
    <w:p/>
    <w:p>
      <w:r>
        <w:t>Response: We have added comprehensive text-reference validation: (1) Cross-model regeneration using Claude Sonnet 4, (2) Quality ablation with short/noisy/wrong variants across all five models, (3) No-criteria ablation showing benefit comes from natural-language description rather than criterion leakage. Results confirm that reference quality matters and the benefit is robust to generator choice.</w:t>
      </w:r>
    </w:p>
    <w:p/>
    <w:p>
      <w:r>
        <w:t>Action Taken: Added cross-model verification, quality ablation (Table 3), and no-criteria ablation.</w:t>
      </w:r>
    </w:p>
    <w:p/>
    <w:p>
      <w:pPr>
        <w:pStyle w:val="Heading3"/>
      </w:pPr>
      <w:r>
        <w:t>R3-4: Failure Taxonomy</w:t>
      </w:r>
    </w:p>
    <w:p/>
    <w:p>
      <w:r>
        <w:t>Reviewer Concern: "The classification of failures should be supported by multiple annotators and inter-annotator agreement analysis."</w:t>
      </w:r>
    </w:p>
    <w:p/>
    <w:p>
      <w:r>
        <w:t>Response: We have: (1) Conducted IAA study with two independent annotators on 100 instances, (2) Computed Cohen's κ=0.116 (2-category) and κ=0.116 (3-category), indicating low agreement, (3) Labeled Section 5.3 as "Exploratory" to reflect this limitation, (4) Removed Finding 4 from abstract. The low kappa suggests that failure taxonomy is subjective and should be interpreted with caution.</w:t>
      </w:r>
    </w:p>
    <w:p/>
    <w:p>
      <w:r>
        <w:t>Action Taken: Added IAA results, labeled Section 5.3 as exploratory, removed Finding 4 from abstract.</w:t>
      </w:r>
    </w:p>
    <w:p/>
    <w:p>
      <w:pPr>
        <w:pStyle w:val="Heading3"/>
      </w:pPr>
      <w:r>
        <w:t>R3-5: Definition of Self-Verification</w:t>
      </w:r>
    </w:p>
    <w:p/>
    <w:p>
      <w:r>
        <w:t>Reviewer Concern: "The paper should clearly distinguish between genuine self-verification and cross-model or external LLM-based verification."</w:t>
      </w:r>
    </w:p>
    <w:p/>
    <w:p>
      <w:r>
        <w:t>Response: We clarify that our study examines post-hoc task verification, where an LLM evaluates whether a web task was completed successfully by examining the final page state. This is distinct from closed-loop self-verification where the agent would verify and potentially correct its own work. We have revised terminology throughout the manuscript to reflect this distinction.</w:t>
      </w:r>
    </w:p>
    <w:p/>
    <w:p>
      <w:r>
        <w:t>Action Taken: Revised terminology to "post-hoc verification" and clarified distinction from closed-loop self-verification.</w:t>
      </w:r>
    </w:p>
    <w:p/>
    <w:p>
      <w:pPr>
        <w:pStyle w:val="Heading3"/>
      </w:pPr>
      <w:r>
        <w:t>R3-6: Imbalanced Dataset</w:t>
      </w:r>
    </w:p>
    <w:p/>
    <w:p>
      <w:r>
        <w:t>Reviewer Concern: "Greater emphasis should be placed on F1-score and balanced accuracy rather than accuracy alone."</w:t>
      </w:r>
    </w:p>
    <w:p/>
    <w:p>
      <w:r>
        <w:t>Response: We agree and have: (1) Reported F1-score and balanced accuracy alongside accuracy in all tables, (2) Used F1 as the primary metric for model comparison, (3) Discussed the class imbalance (16.8% SUCCESS rate) and its implications for interpretation. The revised manuscript emphasizes F1 and balanced accuracy throughout.</w:t>
      </w:r>
    </w:p>
    <w:p/>
    <w:p>
      <w:r>
        <w:t>Action Taken: Added F1 and balanced accuracy to all tables, used F1 as primary metric, and discussed class imbalance implications.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