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Can LLM Web Agents Verify Their Own Work? The Role of Visual and Textual References in Post-Hoc 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Abstract: Autonomous web agents powered by large multimodal models (LMMs) can now complete complex browser tasks, but determining whether a task succeeded remains an open problem. Current evaluation relies on brittle scripted oracles that cannot generalize across websites. We investigate whether LMMs can post-hoc verify task completion by examining a final screenshot, optionally augmented with a reference, either a textual description of the expected outcome or a screenshot from a successful human trajectory.</w:t>
        <w:br/>
        <w:b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improve verification for GPT-4.1 (+8.8pp, p&lt;0.05) and GPT-4.1 Mini (+11.6pp, p&lt;0.05) even when references are generated by an independent model (Claude Sonnet 4), but the effect is not significant for Nano, Claude, or Gemini under cross-generator evaluation; (2) on the 147-instance visual-reference subset, visual references degrade three of five models' accuracy—GPT-4.1 drops from 69.2% to 54.1% and Gemini from 78.2% to 65.3%—while Claude is robust (77.4% → 75.2%, n.s.) and GPT-4.1 Mini improves (61.2% → 68.7%); (3) dual reference (text + visual) does not consistently outperform text-only across models; (4) Claude is well-calibrated by both ECE and Brier score across all conditions while GPT and Gemini models are overconfident.</w:t>
        <w:br/>
        <w:br/>
        <w:t>Cross-generator and ablation experiments reveal that the original text-reference benefit was partly inflated by self-agreement bias (the original references were generated by GPT-4.1 Nano, one of the evaluated models) and evaluation-criteria leakage (references generated without task-specific evaluation criteria provide no benefit). These results indicate that LMM-based post-hoc verification is viable but reference-dependent, and that both reference quality and generator independence matter. The findings are conditional on the VWA + GPT-4V/SoM setting; we release the full evaluation harness, prompts, results, and analysis tooling to support cross-benchmark, cross-agent, and cross-verifier replication.</w:t>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8">
      <w:pPr>
        <w:jc w:val="both"/>
        <w:rPr>
          <w:rFonts w:ascii="Times New Roman" w:cs="Times New Roman" w:eastAsia="Times New Roman" w:hAnsi="Times New Roman"/>
          <w:sz w:val="20"/>
          <w:szCs w:val="20"/>
        </w:rPr>
      </w:pPr>
      <w: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consistently and significantly improve verification accuracy for all five models (A→B McNemar p&lt;0.001, surviving Bonferroni correction at alpha'=0.0017), with the best configuration (Claude Sonnet 4 + text reference) reaching 86.7% accuracy and 0.627 F1, closely followed by Gemini 2.5 Flash (86.1%, 0.563 F1); (2) on the 147-instance visual-reference subset, visual references degrade three of five models' accuracy, GPT-4.1 drops from 70.0% to 54.1% and Gemini from 80.9% to 65.3%, while Claude is robust (77.4% → 75.2%, n.s.); (3) text references produce the largest absolute gains on deceptive failures (the page looks plausible but is wrong), with 5-28 percentage-point improvements; (4) Claude is well-calibrated by both ECE and Brier score across all conditions while GPT and Gemini models are overconfident.</w:t>
      </w:r>
    </w:p>
    <w:p w:rsidR="00000000" w:rsidDel="00000000" w:rsidP="00000000" w:rsidRDefault="00000000" w:rsidRPr="00000000" w14:paraId="000000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These results indicate that LMM-based post-hoc verification is viable in this regime but is reference-dependent, and that the modality of the reference matters more than its mere presence. The findings are conditional on the VWA + GPT-4V/SoM setting; we release the full evaluation harness, prompts, results, and analysis tooling to support cross-benchmark, cross-agent, and cross-verifier replication.</w:t>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Index Terms: large multimodal models, LLM-as-judge, autonomous web agents, post-hoc verification, task verification, confidence calibration, VisualWebArena, multimodal evaluation</w:t>
      </w:r>
      <w:r>
        <w:rPr>
          <w:rFonts w:ascii="Helvetica Neue" w:cs="Helvetica Neue" w:eastAsia="Helvetica Neue" w:hAnsi="Helvetica Neue"/>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use post-hoc verification to mean an LMM judge deciding, from the final screenshot, whether an LMM agent's task succeeded. The judge and the actor are different models in every configuration we test; we do not evaluate closed-loop self-correction. We study this question through a controlled experiment comparing four verification conditions:</w:t>
      </w:r>
    </w:p>
    <w:p>
      <w:pPr/>
      <w:r>
        <w:t>A text reference is a natural-language description of what the successful completion of a task should look like on the final web page. It describes the expected semantic content and state of the page, without specifying layout details such as colors, fonts, or positions. Text references are generated by an LLM given the task description and evaluation criteria.</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2.5 Flash (Google), on 909 task instances from VisualWebArena [3], covering three web domains (e-commerce, classifieds, social media).</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A controlled comparison of reference modalities for LMM post-hoc verification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r>
        <w:rPr>
          <w:rFonts w:ascii="Times New Roman" w:cs="Times New Roman" w:eastAsia="Times New Roman" w:hAnsi="Times New Roman"/>
          <w:sz w:val="20"/>
          <w:szCs w:val="20"/>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For visual evaluation, MMMU [9] and MMBench [10] assess model visual understanding but do not study post-hoc verification in agentic settings. The closest work to ours is Pan et al.'s autonomous evaluation framework [5] and the WebJudge evaluator (Xue et al., COLM 2025),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2.3 Post-Hoc 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Post-hoc verification—where an LMM judge decides, from the final screenshot, whether an LMM agent's task succeeded—is related to self-reflection [14], self-debugging [8], and ReAct-style reasoning-action loops [15]. Reflexion [14] demonstrated that iterative self-evaluation improves downstream task performance, but assumes the self-evaluation signal is reliable. Our work directly measures how reliable that signal is and what information is required to make it useful.</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3. The Visual Post-Hoc 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Text references are lightweight to produce, they require the task specification and evaluation criteria, not a successful execution, making them practical for real deployment. They capture what should be true without prescribing how it should look.</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br/>
        <w:t>Figure 1: Visual Post-Hoc Verification Framework, inputs, prompt construction, and outputs for each of the four conditions (A–D).</w:t>
        <w:br/>
      </w:r>
      <w:r>
        <w:rPr>
          <w:rFonts w:ascii="Times New Roman" w:cs="Times New Roman" w:eastAsia="Times New Roman" w:hAnsi="Times New Roman"/>
          <w:sz w:val="20"/>
          <w:szCs w:val="20"/>
        </w:rPr>
      </w:r>
      <w:r>
        <w:rPr>
          <w:rFonts w:ascii="Times New Roman" w:cs="Times New Roman" w:eastAsia="Times New Roman" w:hAnsi="Times New Roman"/>
          <w:sz w:val="20"/>
          <w:szCs w:val="20"/>
          <w:rtl w:val="0"/>
        </w:rPr>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11,322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w:t>
      </w:r>
      <w:r>
        <w:rPr>
          <w:rFonts w:ascii="Times New Roman" w:cs="Times New Roman" w:eastAsia="Times New Roman" w:hAnsi="Times New Roman"/>
          <w:sz w:val="20"/>
          <w:szCs w:val="20"/>
          <w:rtl w:val="0"/>
        </w:rPr>
        <w:t xml:space="preserve">: For the SUCCESS class specifically.</w:t>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SSIM baseline [21]: For the 147 visual-reference instances, we compute the Structural Similarity Index between each actual screenshot and its reference screenshot, resized to a common resolution of 512x512 grayscale. We select the optimal SSIM threshold via exhaustive search to maximize accuracy. At this threshold, SSIM achieves 23.6% accuracy and 0.000 F1 on the SUCCESS class, confirming that pixel-level similarity is uninformative for task verification. We also note that pretrained vision-language similarity (e.g., BLIP-2 [25]) could be substituted; SSIM is a strong, well-understood baseline that requires no learned encoder.</w:t>
      </w:r>
      <w:r>
        <w:rPr>
          <w:rFonts w:ascii="Times New Roman" w:cs="Times New Roman" w:eastAsia="Times New Roman" w:hAnsi="Times New Roman"/>
          <w:sz w:val="20"/>
          <w:szCs w:val="20"/>
          <w:rtl w:val="0"/>
        </w:rPr>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[.745,.802]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[.254,.394]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w:t>
            </w:r>
            <w:r>
              <w:rPr>
                <w:rFonts w:ascii="Times New Roman" w:cs="Times New Roman" w:eastAsia="Times New Roman" w:hAnsi="Times New Roman"/>
                <w:sz w:val="20"/>
                <w:szCs w:val="20"/>
                <w:rtl w:val="0"/>
              </w:rPr>
              <w:t xml:space="preserve"> [.812,.861]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w:t>
            </w:r>
            <w:r>
              <w:rPr>
                <w:rFonts w:ascii="Times New Roman" w:cs="Times New Roman" w:eastAsia="Times New Roman" w:hAnsi="Times New Roman"/>
                <w:sz w:val="20"/>
                <w:szCs w:val="20"/>
                <w:rtl w:val="0"/>
              </w:rPr>
              <w:t xml:space="preserve"> [.412,.558]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 [.538,.699]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 [.225,.479]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 [.697,.834]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 [.323,.627]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[.345,.451]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w:t>
            </w:r>
            <w:r>
              <w:rPr>
                <w:rFonts w:ascii="Times New Roman" w:cs="Times New Roman" w:eastAsia="Times New Roman" w:hAnsi="Times New Roman"/>
                <w:sz w:val="20"/>
                <w:szCs w:val="20"/>
                <w:rtl w:val="0"/>
              </w:rPr>
              <w:t xml:space="preserve"> [.819,.867]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w:t>
            </w:r>
            <w:r>
              <w:rPr>
                <w:rFonts w:ascii="Times New Roman" w:cs="Times New Roman" w:eastAsia="Times New Roman" w:hAnsi="Times New Roman"/>
                <w:sz w:val="20"/>
                <w:szCs w:val="20"/>
                <w:rtl w:val="0"/>
              </w:rPr>
              <w:t xml:space="preserve"> [.543,.660]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 [.612,.762]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 [.274,.537]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.571</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[.687,.830]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 [.357,.638]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[.672,.731]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[.381,.490]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w:t>
            </w:r>
            <w:r>
              <w:rPr>
                <w:rFonts w:ascii="Times New Roman" w:cs="Times New Roman" w:eastAsia="Times New Roman" w:hAnsi="Times New Roman"/>
                <w:sz w:val="20"/>
                <w:szCs w:val="20"/>
                <w:rtl w:val="0"/>
              </w:rPr>
              <w:t xml:space="preserve"> [.796,.846]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w:t>
            </w:r>
            <w:r>
              <w:rPr>
                <w:rFonts w:ascii="Times New Roman" w:cs="Times New Roman" w:eastAsia="Times New Roman" w:hAnsi="Times New Roman"/>
                <w:sz w:val="20"/>
                <w:szCs w:val="20"/>
                <w:rtl w:val="0"/>
              </w:rPr>
              <w:t xml:space="preserve"> [.476,.604]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 [.459,.623]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 [.264,.496]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 [.544,.707]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 [.243,.506]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w:t>
            </w:r>
            <w:r>
              <w:rPr>
                <w:rFonts w:ascii="Times New Roman" w:cs="Times New Roman" w:eastAsia="Times New Roman" w:hAnsi="Times New Roman"/>
                <w:sz w:val="20"/>
                <w:szCs w:val="20"/>
                <w:rtl w:val="0"/>
              </w:rPr>
              <w:t xml:space="preserve"> [.846,.888]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w:t>
            </w:r>
            <w:r>
              <w:rPr>
                <w:rFonts w:ascii="Times New Roman" w:cs="Times New Roman" w:eastAsia="Times New Roman" w:hAnsi="Times New Roman"/>
                <w:sz w:val="20"/>
                <w:szCs w:val="20"/>
                <w:rtl w:val="0"/>
              </w:rPr>
              <w:t xml:space="preserve"> [.565,.690]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[.682,.822]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 [.351,.646]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[.659,.812]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 [.364,.636]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.731</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.809 [.782,.834]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.435 [.367,.500]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.861</w:t>
            </w:r>
            <w:r>
              <w:rPr>
                <w:rFonts w:ascii="Times New Roman" w:cs="Times New Roman" w:eastAsia="Times New Roman" w:hAnsi="Times New Roman"/>
                <w:sz w:val="20"/>
                <w:szCs w:val="20"/>
                <w:rtl w:val="0"/>
              </w:rPr>
              <w:t xml:space="preserve"> [.838,.882]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.563</w:t>
            </w:r>
            <w:r>
              <w:rPr>
                <w:rFonts w:ascii="Times New Roman" w:cs="Times New Roman" w:eastAsia="Times New Roman" w:hAnsi="Times New Roman"/>
                <w:sz w:val="20"/>
                <w:szCs w:val="20"/>
                <w:rtl w:val="0"/>
              </w:rPr>
              <w:t xml:space="preserve"> [.490,.627]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.732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 [.578,.728]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 [.179,.453]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 [.603,.753]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 [.239,.519]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consistently and significantly improve verification.</w:t>
      </w:r>
      <w:r>
        <w:rPr>
          <w:rFonts w:ascii="Times New Roman" w:cs="Times New Roman" w:eastAsia="Times New Roman" w:hAnsi="Times New Roman"/>
          <w:sz w:val="20"/>
          <w:szCs w:val="20"/>
          <w:rtl w:val="0"/>
        </w:rPr>
        <w:t xml:space="preserve"> Condition B outperforms Condition A for every model, with accuracy gains of +6.2pp (Nano), +20.6pp (Mini), +12.1pp (GPT-4.1), +9.3pp (Claude), and +5.2pp (Gemini). McNemar's test confirms significance at p&lt;0.001 for all five models (Table 2). The F1 improvement is even more dramatic: Mini improves from 0.396 to 0.606, meaning text references help the model correctly identify both successes and failures, not merely shifting the decision boundary. Notably, Gemini 2.5 Flash achieves the highest </w:t>
      </w:r>
      <w:r>
        <w:rPr>
          <w:rFonts w:ascii="Times New Roman" w:cs="Times New Roman" w:eastAsia="Times New Roman" w:hAnsi="Times New Roman"/>
          <w:i w:val="1"/>
          <w:iCs w:val="1"/>
          <w:sz w:val="20"/>
          <w:szCs w:val="20"/>
          <w:rtl w:val="0"/>
        </w:rPr>
        <w:t xml:space="preserve">baseline</w:t>
      </w:r>
      <w:r>
        <w:rPr>
          <w:rFonts w:ascii="Times New Roman" w:cs="Times New Roman" w:eastAsia="Times New Roman" w:hAnsi="Times New Roman"/>
          <w:sz w:val="20"/>
          <w:szCs w:val="20"/>
          <w:rtl w:val="0"/>
        </w:rPr>
        <w:t xml:space="preserve"> accuracy without references (80.9%), suggesting strong intrinsic visual understanding, yet still benefits significantly from text references.</w:t>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w:t>
      </w:r>
      <w:r>
        <w:rPr>
          <w:rFonts w:ascii="Cardo" w:cs="Cardo" w:eastAsia="Cardo" w:hAnsi="Cardo"/>
          <w:sz w:val="20"/>
          <w:szCs w:val="20"/>
          <w:rtl w:val="0"/>
        </w:rPr>
        <w:t xml:space="preserve"> For GPT and Gemini models, Condition C generally degrades performance relative to A. GPT-4.1 suffers the most dramatic drop: 70.0% → 54.1% (p&lt;0.001), falling </w:t>
      </w:r>
      <w:r>
        <w:rPr>
          <w:rFonts w:ascii="Times New Roman" w:cs="Times New Roman" w:eastAsia="Times New Roman" w:hAnsi="Times New Roman"/>
          <w:i w:val="1"/>
          <w:iCs w:val="1"/>
          <w:sz w:val="20"/>
          <w:szCs w:val="20"/>
          <w:rtl w:val="0"/>
        </w:rPr>
        <w:t xml:space="preserve">below</w:t>
      </w:r>
      <w:r>
        <w:rPr>
          <w:rFonts w:ascii="Cardo" w:cs="Cardo" w:eastAsia="Cardo" w:hAnsi="Cardo"/>
          <w:sz w:val="20"/>
          <w:szCs w:val="20"/>
          <w:rtl w:val="0"/>
        </w:rPr>
        <w:t xml:space="preserve"> the majority-class baseline. Gemini also drops significantly: 80.9% → 65.3% (p=0.005). In contrast, Claude Sonnet 4 handles visual references competently: 77.4% → 75.2%, a non-significant difference (p=0.556). This suggests GPT and Gemini models are distracted by visual references, treating surface similarity as more informative than it is, while Claude can integrate visual information without being misled.</w:t>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never outperform text-only (B).</w:t>
      </w:r>
      <w:r>
        <w:rPr>
          <w:rFonts w:ascii="Cardo" w:cs="Cardo" w:eastAsia="Cardo" w:hAnsi="Cardo"/>
          <w:sz w:val="20"/>
          <w:szCs w:val="20"/>
          <w:rtl w:val="0"/>
        </w:rPr>
        <w:t xml:space="preserve"> Despite having strictly more information, Condition D underperforms Condition B for every model. For Gemini, B→D drops from 86.1% to 67.8% (p&lt;0.001); for GPT-4.1, 82.1% to 62.6% (p&lt;0.001); for Claude, 86.7% to 73.9% (p=0.016). This counterintuitive result suggests that visual references introduce noise that partially cancels the benefit of text references. The model appears to anchor on visual similarity when both modalities are available, undermining the more reliable textual signal.</w:t>
        <w:br w:type="textWrapping"/>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 </w:t>
        <w:br/>
        <w:t>χ² statistic and raw p-value; significance markers (* p&lt;0.05, ** p&lt;0.01, *** p&lt;0.001) refer to uncorrected values. Bold indicates pairs that survive Bonferroni correction at α'=0.05/30=0.00167 across the full 30-test family (5 models × 6 condition pairs); the full corrected table is in Appendix I and results/revision_bonferroni.csv.</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
              <w:t>χ²=17.0, p=4e-05*</w:t>
            </w:r>
          </w:p>
        </w:tc>
        <w:tc>
          <w:tcPr>
            <w:shd w:fill="auto" w:val="clear"/>
            <w:tcMar>
              <w:top w:w="100.0" w:type="dxa"/>
              <w:left w:w="100.0" w:type="dxa"/>
              <w:bottom w:w="100.0" w:type="dxa"/>
              <w:right w:w="100.0" w:type="dxa"/>
            </w:tcMar>
            <w:vAlign w:val="top"/>
          </w:tcPr>
          <w:p>
            <w:r>
              <w:t>χ²=8.6, p=0.003*</w:t>
            </w:r>
          </w:p>
        </w:tc>
        <w:tc>
          <w:tcPr>
            <w:shd w:fill="auto" w:val="clear"/>
            <w:tcMar>
              <w:top w:w="100.0" w:type="dxa"/>
              <w:left w:w="100.0" w:type="dxa"/>
              <w:bottom w:w="100.0" w:type="dxa"/>
              <w:right w:w="100.0" w:type="dxa"/>
            </w:tcMar>
            <w:vAlign w:val="top"/>
          </w:tcPr>
          <w:p>
            <w:r>
              <w:t>χ²=14.0, p=2e-04*</w:t>
            </w:r>
          </w:p>
        </w:tc>
        <w:tc>
          <w:tcPr>
            <w:shd w:fill="auto" w:val="clear"/>
            <w:tcMar>
              <w:top w:w="100.0" w:type="dxa"/>
              <w:left w:w="100.0" w:type="dxa"/>
              <w:bottom w:w="100.0" w:type="dxa"/>
              <w:right w:w="100.0" w:type="dxa"/>
            </w:tcMar>
            <w:vAlign w:val="top"/>
          </w:tcPr>
          <w:p>
            <w:r>
              <w:t>p=0.189, p=0.189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
              <w:t>χ²=132.6, p=0e+00*</w:t>
            </w:r>
          </w:p>
        </w:tc>
        <w:tc>
          <w:tcPr>
            <w:shd w:fill="auto" w:val="clear"/>
            <w:tcMar>
              <w:top w:w="100.0" w:type="dxa"/>
              <w:left w:w="100.0" w:type="dxa"/>
              <w:bottom w:w="100.0" w:type="dxa"/>
              <w:right w:w="100.0" w:type="dxa"/>
            </w:tcMar>
            <w:vAlign w:val="top"/>
          </w:tcPr>
          <w:p>
            <w:r>
              <w:t>χ²=2.6, p=0.109</w:t>
            </w:r>
          </w:p>
        </w:tc>
        <w:tc>
          <w:tcPr>
            <w:shd w:fill="auto" w:val="clear"/>
            <w:tcMar>
              <w:top w:w="100.0" w:type="dxa"/>
              <w:left w:w="100.0" w:type="dxa"/>
              <w:bottom w:w="100.0" w:type="dxa"/>
              <w:right w:w="100.0" w:type="dxa"/>
            </w:tcMar>
            <w:vAlign w:val="top"/>
          </w:tcPr>
          <w:p>
            <w:r>
              <w:t>χ²=6.2, p=0.012</w:t>
            </w:r>
          </w:p>
        </w:tc>
        <w:tc>
          <w:tcPr>
            <w:shd w:fill="auto" w:val="clear"/>
            <w:tcMar>
              <w:top w:w="100.0" w:type="dxa"/>
              <w:left w:w="100.0" w:type="dxa"/>
              <w:bottom w:w="100.0" w:type="dxa"/>
              <w:right w:w="100.0" w:type="dxa"/>
            </w:tcMar>
            <w:vAlign w:val="top"/>
          </w:tcPr>
          <w:p>
            <w:r>
              <w:t>p=0.332, p=0.332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
              <w:t>χ²=60.0, p=9e-15*</w:t>
            </w:r>
          </w:p>
        </w:tc>
        <w:tc>
          <w:tcPr>
            <w:shd w:fill="auto" w:val="clear"/>
            <w:tcMar>
              <w:top w:w="100.0" w:type="dxa"/>
              <w:left w:w="100.0" w:type="dxa"/>
              <w:bottom w:w="100.0" w:type="dxa"/>
              <w:right w:w="100.0" w:type="dxa"/>
            </w:tcMar>
            <w:vAlign w:val="top"/>
          </w:tcPr>
          <w:p>
            <w:r>
              <w:t>χ²=11.3, p=8e-04*</w:t>
            </w:r>
          </w:p>
        </w:tc>
        <w:tc>
          <w:tcPr>
            <w:shd w:fill="auto" w:val="clear"/>
            <w:tcMar>
              <w:top w:w="100.0" w:type="dxa"/>
              <w:left w:w="100.0" w:type="dxa"/>
              <w:bottom w:w="100.0" w:type="dxa"/>
              <w:right w:w="100.0" w:type="dxa"/>
            </w:tcMar>
            <w:vAlign w:val="top"/>
          </w:tcPr>
          <w:p>
            <w:r>
              <w:t>χ²=22.7, p=2e-06*</w:t>
            </w:r>
          </w:p>
        </w:tc>
        <w:tc>
          <w:tcPr>
            <w:shd w:fill="auto" w:val="clear"/>
            <w:tcMar>
              <w:top w:w="100.0" w:type="dxa"/>
              <w:left w:w="100.0" w:type="dxa"/>
              <w:bottom w:w="100.0" w:type="dxa"/>
              <w:right w:w="100.0" w:type="dxa"/>
            </w:tcMar>
            <w:vAlign w:val="top"/>
          </w:tcPr>
          <w:p>
            <w:r>
              <w:t>χ²=16.7, p=4e-05*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
              <w:t>χ²=41.3, p=1e-10*</w:t>
            </w:r>
          </w:p>
        </w:tc>
        <w:tc>
          <w:tcPr>
            <w:shd w:fill="auto" w:val="clear"/>
            <w:tcMar>
              <w:top w:w="100.0" w:type="dxa"/>
              <w:left w:w="100.0" w:type="dxa"/>
              <w:bottom w:w="100.0" w:type="dxa"/>
              <w:right w:w="100.0" w:type="dxa"/>
            </w:tcMar>
            <w:vAlign w:val="top"/>
          </w:tcPr>
          <w:p>
            <w:r>
              <w:t>χ²=0.3, p=0.556</w:t>
            </w:r>
          </w:p>
        </w:tc>
        <w:tc>
          <w:tcPr>
            <w:shd w:fill="auto" w:val="clear"/>
            <w:tcMar>
              <w:top w:w="100.0" w:type="dxa"/>
              <w:left w:w="100.0" w:type="dxa"/>
              <w:bottom w:w="100.0" w:type="dxa"/>
              <w:right w:w="100.0" w:type="dxa"/>
            </w:tcMar>
            <w:vAlign w:val="top"/>
          </w:tcPr>
          <w:p>
            <w:r>
              <w:t>χ²=4.7, p=0.031</w:t>
            </w:r>
          </w:p>
        </w:tc>
        <w:tc>
          <w:tcPr>
            <w:shd w:fill="auto" w:val="clear"/>
            <w:tcMar>
              <w:top w:w="100.0" w:type="dxa"/>
              <w:left w:w="100.0" w:type="dxa"/>
              <w:bottom w:w="100.0" w:type="dxa"/>
              <w:right w:w="100.0" w:type="dxa"/>
            </w:tcMar>
            <w:vAlign w:val="top"/>
          </w:tcPr>
          <w:p>
            <w:r>
              <w:t>χ²=5.8, p=0.016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
              <w:t>χ²=17.5, p=3e-05*</w:t>
            </w:r>
          </w:p>
        </w:tc>
        <w:tc>
          <w:tcPr>
            <w:shd w:fill="auto" w:val="clear"/>
            <w:tcMar>
              <w:top w:w="100.0" w:type="dxa"/>
              <w:left w:w="100.0" w:type="dxa"/>
              <w:bottom w:w="100.0" w:type="dxa"/>
              <w:right w:w="100.0" w:type="dxa"/>
            </w:tcMar>
            <w:vAlign w:val="top"/>
          </w:tcPr>
          <w:p>
            <w:r>
              <w:t>χ²=7.9, p=0.005*</w:t>
            </w:r>
          </w:p>
        </w:tc>
        <w:tc>
          <w:tcPr>
            <w:shd w:fill="auto" w:val="clear"/>
            <w:tcMar>
              <w:top w:w="100.0" w:type="dxa"/>
              <w:left w:w="100.0" w:type="dxa"/>
              <w:bottom w:w="100.0" w:type="dxa"/>
              <w:right w:w="100.0" w:type="dxa"/>
            </w:tcMar>
            <w:vAlign w:val="top"/>
          </w:tcPr>
          <w:p>
            <w:r>
              <w:t>χ²=15.7, p=7e-05*</w:t>
            </w:r>
          </w:p>
        </w:tc>
        <w:tc>
          <w:tcPr>
            <w:shd w:fill="auto" w:val="clear"/>
            <w:tcMar>
              <w:top w:w="100.0" w:type="dxa"/>
              <w:left w:w="100.0" w:type="dxa"/>
              <w:bottom w:w="100.0" w:type="dxa"/>
              <w:right w:w="100.0" w:type="dxa"/>
            </w:tcMar>
            <w:vAlign w:val="top"/>
          </w:tcPr>
          <w:p>
            <w:r>
              <w:t>χ²=12.4, p=4e-04*</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The A→B improvement is universally significant and survives Bonferroni correction for all five models. Of the 30 paired tests, 11 are Bonferroni-significant (and the same 11 are Holm-Bonferroni significant). The B→C comparison is informative: for three of five models (GPT-4.1 Nano, GPT-4.1, Gemini 2.5 Flash), switching from text to visual references significantly worsens performance after correction, confirming that the reference modality, not just its presence, drives the effect. Claude is the most robust to visual references.</w:t>
      </w:r>
      <w:r>
        <w:rPr>
          <w:rFonts w:ascii="Times New Roman" w:cs="Times New Roman" w:eastAsia="Times New Roman" w:hAnsi="Times New Roman"/>
          <w:b w:val="1"/>
          <w:bCs w:val="1"/>
          <w:sz w:val="20"/>
          <w:szCs w:val="20"/>
          <w:rtl w:val="0"/>
        </w:rPr>
      </w:r>
      <w:r>
        <w:rPr>
          <w:rFonts w:ascii="Cardo" w:cs="Cardo" w:eastAsia="Cardo" w:hAnsi="Cardo"/>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(ii) visual references (C) underperform A for GPT-4.1 and Gemini, are essentially neutral for Claude, and recover for GPT-4.1 Nano and GPT-4.1 Mini relative to the small-N values in Table 1; (iii) D never beats B. The aligned-subset view eliminates the concern that A vs C/D differences could be driven by sampling differences across instance sets.</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This confirms that evaluation criteria—not merely the natural-language task description—are the primary source of the text-reference benefit. The no-criteria references lack the structured success criteria that guide the verifier's judgment, rendering the text reference ineffective.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Gemini 2.5 Flash: −28.6pp (78.2%→70.9%), p&lt;0.001, significant negative.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Claude Sonnet 4: −6.1pp (76.6%→73.9%), p=0.029, significant negative.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+1.4pp (69.2%→70.1%), p=0.68, not significant.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Mini: +0.0pp (61.2%→61.2%), p=1.0, not significant.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Nano: −2.6pp (75.3%→72.8%), p=0.45, not significant.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No model shows significant benefit when evaluation criteria are removed:</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Table 8: No-criteria ablation results. Same format as Table 7. All values on the 147-subset.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We tested whether the evaluation criteria (not just the task description) drive the text-reference benefit. We generated references using GPT-4.1 Nano without including evaluation criteria in the prompt. The references contain a natural-language task description but no structured success criteria.</w:t>
      </w:r>
    </w:p>
    <w:p w:rsidR="00000000" w:rsidDel="00000000" w:rsidP="00000000" w:rsidRDefault="00000000" w:rsidRPr="00000000" w14:paraId="000001C2">
      <w:pPr>
        <w:jc w:val="both"/>
        <w:rPr>
          <w:rFonts w:ascii="Times New Roman" w:cs="Times New Roman" w:eastAsia="Times New Roman" w:hAnsi="Times New Roman"/>
          <w:sz w:val="20"/>
          <w:szCs w:val="20"/>
        </w:rPr>
        <w:pStyle w:val="Heading3"/>
      </w:pPr>
      <w:r>
        <w:t xml:space="preserve">5.2.3 No-Criteria Ablation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The text-reference benefit is robust for GPT-4.1 and GPT-4.1 Mini under independent generation. For Nano and Claude, the effect is reduced but in the same direction. The original A→B comparison (self-generated refs) represents an upper bound; the cross-generator results provide a more realistic estimate of achievable benefit.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Gemini 2.5 Flash: −23.1pp lift (78.2%→72.3%), McNemar p&lt;0.001, significant negative. The text reference harms Gemini, suggesting generator-model compatibility matters.</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Claude Sonnet 4: +6.1pp lift (76.6%→81.2%), McNemar p=0.07, not significant. Reduced but positive effect.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Nano: +4.6pp lift (75.3%→80.3%), McNemar p=0.35, not significant. Reduced but positive effect.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Mini: +11.6pp lift (61.2%→72.8%), McNemar p=0.013, significant. The largest cross-generator benefit.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+8.8pp lift (69.2%→77.6%), McNemar p=0.016, significant. The text-reference benefit is robust under independent generation.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The cross-generator results show a more nuanced picture than the original A→B comparison: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Table 7: Cross-generator results (Claude Sonnet 4 references, 147-subset). Acc=accuracy, lift=A−B difference, McNemar p-value vs. A.</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To test whether the text-reference benefit depends on the specific generator model, we regenerated text references using Claude Sonnet 4 as an independent generator. The original references were generated by GPT-4.1 Nano; using a different model controls for self-agreement bias. We re-ran all five verifiers on the 147-instance visual subset.</w:t>
      </w:r>
    </w:p>
    <w:p w:rsidR="00000000" w:rsidDel="00000000" w:rsidP="00000000" w:rsidRDefault="00000000" w:rsidRPr="00000000" w14:paraId="000001C2">
      <w:pPr>
        <w:jc w:val="both"/>
        <w:rPr>
          <w:rFonts w:ascii="Times New Roman" w:cs="Times New Roman" w:eastAsia="Times New Roman" w:hAnsi="Times New Roman"/>
          <w:sz w:val="20"/>
          <w:szCs w:val="20"/>
        </w:rPr>
        <w:pStyle w:val="Heading3"/>
      </w:pPr>
      <w:r>
        <w:t xml:space="preserve">5.2.2 Cross-Generator Evaluation</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t>5.3 Failure Type Analysis (Exploratory)</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.833 (+.068)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.926 (</w:t>
            </w:r>
            <w:r>
              <w:rPr>
                <w:rFonts w:ascii="Times New Roman" w:cs="Times New Roman" w:eastAsia="Times New Roman" w:hAnsi="Times New Roman"/>
                <w:b w:val="1"/>
                <w:bCs w:val="1"/>
                <w:sz w:val="20"/>
                <w:szCs w:val="20"/>
                <w:rtl w:val="0"/>
              </w:rPr>
              <w:t xml:space="preserve">+.088</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w:t>
            </w:r>
            <w:r>
              <w:rPr>
                <w:rFonts w:ascii="Times New Roman" w:cs="Times New Roman" w:eastAsia="Times New Roman" w:hAnsi="Times New Roman"/>
                <w:b w:val="1"/>
                <w:bCs w:val="1"/>
                <w:sz w:val="20"/>
                <w:szCs w:val="20"/>
                <w:rtl w:val="0"/>
              </w:rPr>
              <w:t xml:space="preserve">+.279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w:t>
            </w:r>
            <w:r>
              <w:rPr>
                <w:rFonts w:ascii="Times New Roman" w:cs="Times New Roman" w:eastAsia="Times New Roman" w:hAnsi="Times New Roman"/>
                <w:b w:val="1"/>
                <w:bCs w:val="1"/>
                <w:sz w:val="20"/>
                <w:szCs w:val="20"/>
                <w:rtl w:val="0"/>
              </w:rPr>
              <w:t xml:space="preserve">+.164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.866 (</w:t>
            </w:r>
            <w:r>
              <w:rPr>
                <w:rFonts w:ascii="Times New Roman" w:cs="Times New Roman" w:eastAsia="Times New Roman" w:hAnsi="Times New Roman"/>
                <w:b w:val="1"/>
                <w:bCs w:val="1"/>
                <w:sz w:val="20"/>
                <w:szCs w:val="20"/>
                <w:rtl w:val="0"/>
              </w:rPr>
              <w:t xml:space="preserve">+.125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 (</w:t>
            </w:r>
            <w:r>
              <w:rPr>
                <w:rFonts w:ascii="Times New Roman" w:cs="Times New Roman" w:eastAsia="Times New Roman" w:hAnsi="Times New Roman"/>
                <w:b w:val="1"/>
                <w:bCs w:val="1"/>
                <w:sz w:val="20"/>
                <w:szCs w:val="20"/>
                <w:rtl w:val="0"/>
              </w:rPr>
              <w:t xml:space="preserve">+.052</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(+.038)</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 Across all models, deceptive failure accuracy improves by 5.2–27.9 percentage points with text references. For GPT-4.1 Mini, accuracy on deceptive failures increases by about 1.5-fold from 56.1% to 84.0%. </w:t>
      </w:r>
      <w:r>
        <w:rPr>
          <w:rFonts w:ascii="Times New Roman" w:cs="Times New Roman" w:eastAsia="Times New Roman" w:hAnsi="Times New Roman"/>
          <w:sz w:val="20"/>
          <w:szCs w:val="20"/>
          <w:rtl w:val="0"/>
        </w:rPr>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However, the pattern varies by model capability. For GPT-4.1 Mini and GPT-4.1 (GPT-4.1 Mini and GPT-4.1), the gains are actually largest on obvious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546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5461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Computing SSIM between actual and reference screenshots on the 147 visual-reference instances yields a stark null result: the mean SSIM for SUCCESS instances (0.440 ± 0.118) is statistically indistinguishable from FAILURE instances (0.438 ± 0.114). The optimal threshold (0.80) achieves 81.0% accuracy, identical to the majority-class baseline, with 0.000 F1 (it predicts all instances as FAILURE).</w:t>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.285 / .306 /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 / .182 /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.219 / .219 / .268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 / .158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.422 / .441 / .453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.334 / .334 / .363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.030</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.163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.046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.126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.175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.089</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.194</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.135 / .164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.103 / .111 /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.298 / .310 /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 / .301 / .312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Finding 5: Claude is the best-calibrated verifier on all three measures, in every condition. This holds whether we bin coarsely (3 bins, matching elicitation) or finely (15 equal-mass bins), and is confirmed by the binning-free Brier score. Claude's near-perfect ECE_3bin (e.g., 0.015 in Condition A) loosens slightly under finer binning (ECE_15bin = 0.030) but remains lower than the next-best model in every condition.</w:t>
        <w:br/>
        <w:br/>
        <w:br/>
        <w:t>Figure 5: Calibration reliability diagrams for Conditions A and B across all five models.</w:t>
      </w:r>
      <w:r>
        <w:rPr>
          <w:rFonts w:ascii="Times New Roman" w:cs="Times New Roman" w:eastAsia="Times New Roman" w:hAnsi="Times New Roman"/>
          <w:sz w:val="20"/>
          <w:szCs w:val="20"/>
          <w:rtl w:val="0"/>
        </w:rPr>
      </w:r>
      <w:r>
        <w:rPr/>
      </w:r>
      <w:r>
        <w:rPr>
          <w:rtl w:val="0"/>
        </w:rPr>
      </w:r>
      <w:r>
        <w:rPr>
          <w:rFonts w:ascii="Times New Roman" w:cs="Times New Roman" w:eastAsia="Times New Roman" w:hAnsi="Times New Roman"/>
          <w:sz w:val="20"/>
          <w:szCs w:val="20"/>
          <w:rtl w:val="0"/>
        </w:rPr>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9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11,322 verification API calls at a total cost of </w:t>
      </w:r>
      <w:r>
        <w:rPr>
          <w:rFonts w:ascii="Times New Roman" w:cs="Times New Roman" w:eastAsia="Times New Roman" w:hAnsi="Times New Roman"/>
          <w:b w:val="1"/>
          <w:bCs w:val="1"/>
          <w:sz w:val="20"/>
          <w:szCs w:val="20"/>
          <w:rtl w:val="0"/>
        </w:rPr>
        <w:t xml:space="preserve">$32.85</w:t>
      </w:r>
      <w:r>
        <w:rPr>
          <w:rFonts w:ascii="Times New Roman" w:cs="Times New Roman" w:eastAsia="Times New Roman" w:hAnsi="Times New Roman"/>
          <w:sz w:val="20"/>
          <w:szCs w:val="20"/>
          <w:rtl w:val="0"/>
        </w:rPr>
        <w:t xml:space="preserve"> (per-call costs and latency in </w:t>
      </w:r>
      <w:r>
        <w:rPr>
          <w:rFonts w:ascii="Times New Roman" w:cs="Times New Roman" w:eastAsia="Times New Roman" w:hAnsi="Times New Roman"/>
          <w:color w:val="188038"/>
          <w:sz w:val="20"/>
          <w:szCs w:val="20"/>
          <w:rtl w:val="0"/>
        </w:rPr>
        <w:t xml:space="preserve">results/revision_cost_latency.csv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w:t>
      </w:r>
      <w:r>
        <w:rPr>
          <w:rFonts w:ascii="Times New Roman" w:cs="Times New Roman" w:eastAsia="Times New Roman" w:hAnsi="Times New Roman"/>
          <w:sz w:val="20"/>
          <w:szCs w:val="20"/>
          <w:rtl w:val="0"/>
        </w:rPr>
        <w:t xml:space="preserve"> GPT-4.1 Nano $0.86, GPT-4.1 Mini $1.85, GPT-4.1 $7.55, Claude Sonnet 4 $21.87, Gemini 2.5 Flash $0.74. </w:t>
      </w:r>
      <w:r>
        <w:rPr>
          <w:rFonts w:ascii="Times New Roman" w:cs="Times New Roman" w:eastAsia="Times New Roman" w:hAnsi="Times New Roman"/>
          <w:b w:val="1"/>
          <w:bCs w:val="1"/>
          <w:sz w:val="20"/>
          <w:szCs w:val="20"/>
          <w:rtl w:val="0"/>
        </w:rPr>
        <w:t xml:space="preserve">Per-call cost</w:t>
      </w:r>
      <w:r>
        <w:rPr>
          <w:rFonts w:ascii="Times New Roman" w:cs="Times New Roman" w:eastAsia="Times New Roman" w:hAnsi="Times New Roman"/>
          <w:sz w:val="20"/>
          <w:szCs w:val="20"/>
          <w:rtl w:val="0"/>
        </w:rPr>
        <w:t xml:space="preserve"> ranges from $0.0002 (Gemini 2.5 Flash) to $0.0130 (Claude Sonnet 4 in Condition C). </w:t>
      </w:r>
      <w:r>
        <w:rPr>
          <w:rFonts w:ascii="Times New Roman" w:cs="Times New Roman" w:eastAsia="Times New Roman" w:hAnsi="Times New Roman"/>
          <w:b w:val="1"/>
          <w:bCs w:val="1"/>
          <w:sz w:val="20"/>
          <w:szCs w:val="20"/>
          <w:rtl w:val="0"/>
        </w:rPr>
        <w:t xml:space="preserve">Per-call latency (p95)</w:t>
      </w:r>
      <w:r>
        <w:rPr>
          <w:rFonts w:ascii="Times New Roman" w:cs="Times New Roman" w:eastAsia="Times New Roman" w:hAnsi="Times New Roman"/>
          <w:sz w:val="20"/>
          <w:szCs w:val="20"/>
          <w:rtl w:val="0"/>
        </w:rPr>
        <w:t xml:space="preserve"> ranges from 2.6s (Gemini 2.5 Flash) to 31.0s (GPT-4.1 in Condition C, where two high-resolution images are sent). Adding a text reference (A→B) increases per-call cost by less than 10% on average and per-call latency negligibly, supporting the practical recommendation in Section 6: text references are a near-zero-cost upgrade.</w:t>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w:t>
      </w:r>
      <w:r>
        <w:rPr>
          <w:rFonts w:ascii="Times New Roman" w:cs="Times New Roman" w:eastAsia="Times New Roman" w:hAnsi="Times New Roman"/>
          <w:b w:val="1"/>
          <w:bCs w:val="1"/>
          <w:sz w:val="20"/>
          <w:szCs w:val="20"/>
          <w:rtl w:val="0"/>
        </w:rPr>
        <w:t xml:space="preserve">false positives</w:t>
      </w:r>
      <w:r>
        <w:rPr>
          <w:rFonts w:ascii="Times New Roman" w:cs="Times New Roman" w:eastAsia="Times New Roman" w:hAnsi="Times New Roman"/>
          <w:sz w:val="20"/>
          <w:szCs w:val="20"/>
          <w:rtl w:val="0"/>
        </w:rPr>
        <w:t xml:space="preserve">, the model predicts SUCCESS when ground truth is FAILURE. In Condition A, GPT-4.1 produces 228 false positives versus 44 false negatives; GPT-4.1 Mini produces 287 FPs versus 42 FNs. Gemini is more conservative, with 91 FPs and 83 FNs in Condition A, a more balanced error profile. This bias toward predicting SUCCESS is consistent with a model that finds "things look okay" to be the default judgment.</w:t>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Text references (Condition B) dramatically reduce false positives while only modestly increasing false negatives. For GPT-4.1 Mini, false positives drop from 287 to 101 (−65%) while false negatives decrease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Visual references (Condition C) paradoxically increase false positives for GPT models. GPT-4.1 goes from 228 FPs in Condition A to 60 FPs in Condition C, but on a much smaller instance set (146 vs 908), this represents a FPR of 50.8% (60/(60+58)) versus 30.0% (228/(228+531)). The model appears to treat "the actual page looks somewhat like the reference" as evidence of success, even when the semantic content differs.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Visual references add modest cost ($0.14–$7.27 per model) but do not improve verification accuracy, confirming that text references with evaluation criteria are sufficient for most use cases.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Gemini 2.5 Flash offers the lowest cost ($0.18 for 909 instances) but suffers from overconfidence-driven errors. GPT-4.1 Nano ($0.49) provides a good cost-accuracy tradeoff. Claude Sonnet 4 ($4.19) offers the best calibration but at higher cost. GPT-4.1 ($9.73) is the most expensive, justified only when accuracy is critical.</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Table 11: Estimated cost and latency for verifying 909 instances. Text-only verification assumes ~538 input tokens and ~200 output tokens per instance.</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Heading2"/>
      </w:pPr>
      <w:r>
        <w:t xml:space="preserve">5.10 Cost-Latency Tradeoffs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These examples illustrate that text references are most helpful when they provide structured evaluation criteria that the verifier can systematically check. They are least helpful when the verifier uses the reference as a proxy for task completion rather than as a checklist.</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Where text references hurt: In vwa_classifieds_144 (GT=FAILURE), GPT-4.1 Mini without a reference correctly identifies that the comment text is lowercase ('how funky...') rather than the required 'How funky...'. With a text reference, it overlooks this case-sensitivity issue, likely because the reference states the expected comment without emphasizing exact case matching.</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Where text references help: In vwa_classifieds_111 (GT=FAILURE), GPT-4.1 Nano without a reference correctly identifies the task failed but provides incomplete reasoning. With a text reference, it additionally notes the jersey team name mismatch, providing more actionable feedback.</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Across all models and conditions, text references improved verification in 689 instances and degraded it in 210 instances. We present representative examples of both.</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Heading2"/>
      </w:pPr>
      <w:r>
        <w:t xml:space="preserve">5.9 Qualitative Analysis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Gemini's text-reference degradation is driven by overconfidence combined with reference-based hallucination: when given a text reference, Gemini sometimes hallucinates success based on the reference text rather than verifying against the actual screenshot. This is visible in qualitative examples where Gemini reports 'the comment section now contains a new comment' (based on the reference) when no comment was actually posted.</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The overconfidence pattern is most pronounced for Gemini 2.5 Flash and GPT-4.1 Mini, where confidence when wrong equals or exceeds confidence when correct. This means confidence scores alone are unreliable for filtering low-quality verifications. Claude Sonnet 4 shows the best calibration, with a positive gap (+0.7 to +0.9) between correct and incorrect confidence.</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Table 10: Confidence when correct vs. wrong for Conditions A and B.</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A key finding is that all five models exhibit substantial overconfidence: median confidence scores of 9–10 regardless of correctness. Table 10 shows the mean confidence when correct versus when wrong.</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Heading2"/>
      </w:pPr>
      <w:r>
        <w:t xml:space="preserve">5.8 Overconfidence Analysis</w:t>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Gemini 2.5 Flash, despite having the strongest baseline accuracy (80.9% in Condition A), drops to 65.3% under visual references, a pattern consistent with the surface anchoring hypothesis.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Invest in text reference generation with evaluation criteria. Text descriptions that include task-specific evaluation criteria improve verification for GPT-4.1 and GPT-4.1 Mini even when generated by an independent model. However, reference quality and generator compatibility matter; references without criteria or from incompatible generators may not help or may hurt performance.</w:t>
      </w:r>
      <w:r>
        <w:rPr>
          <w:rFonts w:ascii="Times New Roman" w:cs="Times New Roman" w:eastAsia="Times New Roman" w:hAnsi="Times New Roman"/>
          <w:sz w:val="20"/>
          <w:szCs w:val="20"/>
          <w:rtl w:val="0"/>
        </w:rPr>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w:t>
      </w:r>
      <w:r>
        <w:rPr>
          <w:rFonts w:ascii="Times New Roman" w:cs="Times New Roman" w:eastAsia="Times New Roman" w:hAnsi="Times New Roman"/>
          <w:sz w:val="20"/>
          <w:szCs w:val="20"/>
          <w:rtl w:val="0"/>
        </w:rPr>
        <w:t xml:space="preserve"> Visual references should be tested per-model before deployment; for GPT models, they actively harm performance.</w:t>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Consider targeted verification for deceptive failures. While text references showed the largest absolute gains on deceptive failures in the original self-generated comparison, this finding is exploratory (single-annotator taxonomy, Cohen's kappa=0.236) and may not generalize under cross-generator evaluation.</w:t>
      </w:r>
      <w:r>
        <w:rPr>
          <w:rFonts w:ascii="Times New Roman" w:cs="Times New Roman" w:eastAsia="Times New Roman" w:hAnsi="Times New Roman"/>
          <w:sz w:val="20"/>
          <w:szCs w:val="20"/>
          <w:rtl w:val="0"/>
        </w:rPr>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2.5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Construct validity. Failure-type categorization is partly subjective; we provide a labeling protocol description and representative examples (Appendix E). To support a defensible inter-annotator agreement (IAA) figure, we ship scripts/run_iaa_labels.py, which samples a 100-instance double-labeling subset and computes Cohen's kappa [27] with the Landis and Koch interpretation [28], and we report a two-annotator inter-annotator agreement study in Section 5.3 (Cohen's kappa=0.236, indicating low agreement). The failure-type taxonomy should be treated as exploratory,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Statistical validity. We use paired McNemar tests on common instances and percentile bootstrap confidence intervals (2,000 resamples). We apply both Bonferroni and Holm-Bonferroni multiple-comparison correction across the full 30-test family of (5 models x 6 condition pairs) at family-wise α=0.05; 11 of 30 tests, including all five A→B headline tests, are significant under both corrections (Appendix I, results/revision_bonferroni.csv). We report Brier score in addition to ECE so that calibration claims do not depend on a particular binning choice.</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Automated post-hoc 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have presented a controlled study of reference-augmented LMM post-hoc verification for web agents. Across 909 VisualWebArena trajectories, four reference conditions, and five frontier closed-API models from three families, three findings hold consistently in this setting: text references significantly and uniformly improve verification, visual references degrade most models on the visual-reference subset, and adding a reference screenshot on top of a text reference does not help.</w:t>
      </w:r>
      <w:r>
        <w:rPr>
          <w:rFonts w:ascii="Times New Roman" w:cs="Times New Roman" w:eastAsia="Times New Roman" w:hAnsi="Times New Roman"/>
          <w:b w:val="1"/>
          <w:bCs w:val="1"/>
          <w:sz w:val="20"/>
          <w:szCs w:val="20"/>
          <w:rtl w:val="0"/>
        </w:rPr>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and from 80.9% to 86.1% (Gemini), with the largest gains on the hardest, "deceptive", failure cases.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CITATION.cff</w:t>
      </w:r>
      <w:r>
        <w:rPr>
          <w:rFonts w:ascii="Times New Roman" w:cs="Times New Roman" w:eastAsia="Times New Roman" w:hAnsi="Times New Roman"/>
          <w:sz w:val="20"/>
          <w:szCs w:val="20"/>
          <w:rtl w:val="0"/>
        </w:rPr>
        <w:t xml:space="preserve"> (https://github.com/shravaniparsi/agentic-ui-test).</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the reference. Minor visual</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differences (layout shifts, font rendering, timestamps) are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acceptable. Focus on whether the SEMANTIC CONTENT matches, the</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right page, the right data, the right state.</w:t>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BOTH the text description of the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 outcome AND the reference screenshot. Minor visual differences</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(layout shifts, font rendering, timestamps) are acceptable. Focus on</w:t>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SEMANTIC CONTENT matches.</w:t>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129–147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138–147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5052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505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.865 (403/466)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.850 (198/233)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is a case where even the text reference fails to correct the model. The MCAT book page shows a cover image that does include "2020-2021" text, but it is the wrong listing (wrong URL, wrong specific edition). The model fixates on the visible cover image rather than verifying the page identity. This illustrates the limits of post-hoc verification: when the visual evidence genuinely matches the description, even reference-augmented verification fails.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all models correctly identify the wrong product was added. GPT-4.1 reports: </w:t>
      </w:r>
      <w:r>
        <w:rPr>
          <w:rFonts w:ascii="Times New Roman" w:cs="Times New Roman" w:eastAsia="Times New Roman" w:hAnsi="Times New Roman"/>
          <w:i w:val="1"/>
          <w:iCs w:val="1"/>
          <w:sz w:val="20"/>
          <w:szCs w:val="20"/>
          <w:rtl w:val="0"/>
        </w:rPr>
        <w:t xml:space="preserve">"The wish list contains the wrong product."</w:t>
      </w:r>
      <w:r>
        <w:rPr>
          <w:rFonts w:ascii="Times New Roman" w:cs="Times New Roman" w:eastAsia="Times New Roman" w:hAnsi="Times New Roman"/>
          <w:sz w:val="20"/>
          <w:szCs w:val="20"/>
          <w:rtl w:val="0"/>
        </w:rPr>
        <w:t xml:space="preserve"> This is the prototypical deceptive failure: correct action type (added to wish list), correct category (office chair), but wrong specific item.</w:t>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1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1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w:t>
      </w:r>
      <w:r>
        <w:rPr>
          <w:rFonts w:ascii="Times New Roman" w:cs="Times New Roman" w:eastAsia="Times New Roman" w:hAnsi="Times New Roman"/>
          <w:color w:val="188038"/>
          <w:sz w:val="20"/>
          <w:szCs w:val="20"/>
          <w:rtl w:val="0"/>
        </w:rPr>
        <w:t xml:space="preserve">scripts/generate_text_ref_variants.py</w:t>
      </w:r>
      <w:r>
        <w:rPr>
          <w:rFonts w:ascii="Times New Roman" w:cs="Times New Roman" w:eastAsia="Times New Roman" w:hAnsi="Times New Roman"/>
          <w:sz w:val="20"/>
          <w:szCs w:val="20"/>
          <w:rtl w:val="0"/>
        </w:rPr>
        <w:t xml:space="preserve"> (no API calls; deterministic). The ablation is run by </w:t>
      </w:r>
      <w:r>
        <w:rPr>
          <w:rFonts w:ascii="Times New Roman" w:cs="Times New Roman" w:eastAsia="Times New Roman" w:hAnsi="Times New Roman"/>
          <w:color w:val="188038"/>
          <w:sz w:val="20"/>
          <w:szCs w:val="20"/>
          <w:rtl w:val="0"/>
        </w:rPr>
        <w:t xml:space="preserve">scripts/run_text_ref_ablation.py</w:t>
      </w:r>
      <w:r>
        <w:rPr>
          <w:rFonts w:ascii="Times New Roman" w:cs="Times New Roman" w:eastAsia="Times New Roman" w:hAnsi="Times New Roman"/>
          <w:sz w:val="20"/>
          <w:szCs w:val="20"/>
          <w:rtl w:val="0"/>
        </w:rPr>
        <w:t xml:space="preserve"> over a fixed-seed subset of instances and a configurable subset of models, with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available for cost preview. The default conservative configuration evaluates 100 instances on </w:t>
      </w:r>
      <w:r>
        <w:rPr>
          <w:rFonts w:ascii="Times New Roman" w:cs="Times New Roman" w:eastAsia="Times New Roman" w:hAnsi="Times New Roman"/>
          <w:color w:val="188038"/>
          <w:sz w:val="20"/>
          <w:szCs w:val="20"/>
          <w:rtl w:val="0"/>
        </w:rPr>
        <w:t xml:space="preserve">gpt-4.1-mini</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claude-sonnet-4</w:t>
      </w:r>
      <w:r>
        <w:rPr>
          <w:rFonts w:ascii="Times New Roman" w:cs="Times New Roman" w:eastAsia="Times New Roman" w:hAnsi="Times New Roman"/>
          <w:sz w:val="20"/>
          <w:szCs w:val="20"/>
          <w:rtl w:val="0"/>
        </w:rPr>
        <w:t xml:space="preserve"> across the three variants, and is summarized by </w:t>
      </w:r>
      <w:r>
        <w:rPr>
          <w:rFonts w:ascii="Times New Roman" w:cs="Times New Roman" w:eastAsia="Times New Roman" w:hAnsi="Times New Roman"/>
          <w:color w:val="188038"/>
          <w:sz w:val="20"/>
          <w:szCs w:val="20"/>
          <w:rtl w:val="0"/>
        </w:rPr>
        <w:t xml:space="preserve">scripts/analyze_text_ref_ablation.py</w:t>
      </w:r>
      <w:r>
        <w:rPr>
          <w:rFonts w:ascii="Times New Roman" w:cs="Times New Roman" w:eastAsia="Times New Roman" w:hAnsi="Times New Roman"/>
          <w:sz w:val="20"/>
          <w:szCs w:val="20"/>
          <w:rtl w:val="0"/>
        </w:rPr>
        <w:t xml:space="preserve"> into </w:t>
      </w:r>
      <w:r>
        <w:rPr>
          <w:rFonts w:ascii="Times New Roman" w:cs="Times New Roman" w:eastAsia="Times New Roman" w:hAnsi="Times New Roman"/>
          <w:color w:val="188038"/>
          <w:sz w:val="20"/>
          <w:szCs w:val="20"/>
          <w:rtl w:val="0"/>
        </w:rPr>
        <w:t xml:space="preserve">results/textref_ablation_summary.csv</w:t>
      </w:r>
      <w:r>
        <w:rPr>
          <w:rFonts w:ascii="Times New Roman" w:cs="Times New Roman" w:eastAsia="Times New Roman" w:hAnsi="Times New Roman"/>
          <w:sz w:val="20"/>
          <w:szCs w:val="20"/>
          <w:rtl w:val="0"/>
        </w:rPr>
        <w:t xml:space="preserve">. The variant-generation, ablation, and analysis scripts are released so that this reference-quality sensitivity check can be reproduced; measuring the resulting degradation across the short, noisy, and wrong variants is left to future work.</w:t>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Screenshots. Final-state screenshots from VWA agent trajectories are 1280x2048 PNG (portrait, 5:8 aspect ratio). They are sent to each provider without any resizing or compression,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w:t>
      </w:r>
      <w:r>
        <w:rPr>
          <w:rFonts w:ascii="Times New Roman" w:cs="Times New Roman" w:eastAsia="Times New Roman" w:hAnsi="Times New Roman"/>
          <w:sz w:val="20"/>
          <w:szCs w:val="20"/>
          <w:rtl w:val="0"/>
        </w:rPr>
        <w:t xml:space="preserve"> of the full study is reported in Section 5.6 ($32.85 across 11,322 calls). Reproducing the entire study costs less than the cost of a single human evaluator-day at typical contractor rates, this is the practical sense in which the recommended intervention is "low cost."</w:t>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w:t>
      </w:r>
      <w:r>
        <w:rPr>
          <w:rFonts w:ascii="Times New Roman" w:cs="Times New Roman" w:eastAsia="Times New Roman" w:hAnsi="Times New Roman"/>
          <w:color w:val="188038"/>
          <w:sz w:val="20"/>
          <w:szCs w:val="20"/>
          <w:rtl w:val="0"/>
        </w:rPr>
        <w:t xml:space="preserve">results/revision_bonferroni.csv</w:t>
      </w:r>
      <w:r>
        <w:rPr>
          <w:rFonts w:ascii="Cardo" w:cs="Cardo" w:eastAsia="Cardo" w:hAnsi="Cardo"/>
          <w:sz w:val="20"/>
          <w:szCs w:val="20"/>
          <w:rtl w:val="0"/>
        </w:rPr>
        <w:t xml:space="preserve">. Bonferroni-significant pairs at α'=0.05/30=0.00167 (also the same set under Holm-Bonferroni step-down) are: GPT-4.1 Nano A→B, A→C, B→C; GPT-4.1 Mini A→B; GPT-4.1 A→B, A→C, B→C, B→D; Claude Sonnet 4 A→B; Gemini 2.5 Flash A→B, B→C, B→D. This includes all five A→B comparisons (the headline effect) and confirms that the visual-reference-degrades-most-models pattern (A→C, B→C) survives multiple-comparison correction for the GPT-4.1 family and Gemini, while Claude is robust (A→C and A→D not significant).</w:t>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