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textual references improve verification for four of the five models when the reference generator is GPT-4.1 Nano (A→B McNemar p&lt;0.001, surviving Bonferroni correction at alpha'=0.0017), and the effect persists under cross-generator evaluation for GPT-4.1 (+9.6pp, p=0.018) and GPT-4.1 Mini (+12.9pp, p=0.007) but not for Nano, Claude, or Gemini; the best configuration (Claude Sonnet 4 + text reference) reaches 86.7% accuracy and 0.627 F1; (2) on the 147-instance visual-reference subset, visual references degrade two of five models, GPT-4.1 falling from 69.2% to 58.5% and GPT-4.1 Nano from 75.3% to 67.3%, while GPT-4.1 Mini (61.2% → 73.5%) and Claude Sonnet 4 (76.6% → 80.3%) improve and Gemini is essentially unchanged (77.6% → 78.2%); (3) dual reference (text + visual) does not consistently outperform text-only across models;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4.4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improve verification for four of five models. Condition B outperforms Condition A for every model except Gemini, with accuracy gains of +6.2pp (Nano), +20.6pp (Mini), +12.1pp (GPT-4.1), and +9.3pp (Claude). McNemar's test confirms significance at p&lt;0.001 for these four models, each surviving Bonferroni correction (Table 2). Gemini 3.6 Flash is the exception: it gains only +0.9pp (77.9% → 78.8%) and the change is not significant (χ²=0.6, p=0.450). The F1 improvement is more dramatic than accuracy alone suggests: Mini improves from 0.396 to 0.606, meaning text references help the model correctly identify both successes and failures rather than merely shifting the decision boundary. Notably, Gemini achieves the highest baseline accuracy without references (77.9%), suggesting strong intrinsic visual understanding, and appears to gain correspondingly little from an added textual description.</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(+12.3pp)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criteria—not merely the natural-language task description—are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Gemini 3.6 Flash: −2.0pp (77.6%→75.5%), p=0.58,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Claude Sonnet 4: −0.7pp (76.1%→75.4%), p=1.00,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+1.4pp (69.2%→70.5%), p=0.84,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Mini: +6.8pp (61.2%→68.0%), p=0.089,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Nano: +0.0pp (75.7%→75.7%), p=0.84,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8: No-criteria ablation results. Same format as Table 7. All values on the 147-subset.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and GPT-4.1 Mini under independent generation. For Nano, Claude,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Gemini 3.6 Flash: +2.0pp lift (77.6%→79.6%), McNemar p=0.66,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Claude Sonnet 4: +5.0pp lift (77.1%→82.1%), McNemar p=0.19, not significant. Reduced but positive effect.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Nano: +1.4pp lift (75.4%→76.8%), McNemar p=0.84, not significant. The self-generated benefit largely disappears under an independent generator.</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Mini: +12.9pp lift (61.2%→74.1%), McNemar p=0.007, significant. The largest cross-generator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+9.6pp lift (69.2%→78.8%), McNemar p=0.018, significant. The text-reference benefit is robust under independent generation.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Cross-generator results (Claude Sonnet 4 references, 147-subset). Acc=accuracy, lift=A−B difference, McNemar p-value vs. 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5.3 Failure Type Analysis (Exploratory)</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 Across all models, deceptive failure accuracy improves by 5.2–27.9 percentage points with text references. For GPT-4.1 Mini, accuracy on deceptive failures increases by about 1.5-fold from 56.1% to 84.0%. </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However, the pattern varies by model capability. For GPT-4.1 Mini and GPT-4.1 (GPT-4.1 Mini and GPT-4.1), the gains are actually largest on obvious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 sits between them, with 152 FPs and 49 FNs in Condition A.</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($0.14–$7.27 per model) but do not improve verification accuracy, confirming that text references with evaluation criteria are sufficient for most use cases.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11: Estimated cost and latency for verifying 909 instances. Text-only verification assumes ~538 input tokens and ~200 output tokens per instance.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10: Confidence when correct vs. wrong for Conditions A and B.</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10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Consider targeted verification for deceptive failures. While text references showed the largest absolute gains on deceptive failures in the original self-generated comparison, this finding is exploratory: the three-category failure taxonomy has not yet been validated by a two-annotator agreement study [IAA-PENDING: Cohen's kappa to be inserted], and the effect may not generalize under cross-generator evaluation.</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Failure-type categorization is partly subjective; we provide a labeling protocol description and representative examples (Appendix E). To support a defensible inter-annotator agreement (IAA) figure we ship the labeling interface in iaa_labeling/, which serves a 100-instance double-labeling subset over the three-category taxonomy (obvious / deceptive / partial) and scripts/recompute_iaa.py, which computes Cohen's kappa [27] with the Landis and Koch interpretation [28] together with the full confusion matrix. A two-annotator study over the three-category taxonomy is in progress and its agreement figure will be reported in Section 5.3 [IAA-PENDING: Cohen's kappa, confusion matrix, and per-annotator label distributions to be inserted]. An earlier two-category pilot (failed / partial only) reached Cohen's kappa = 0.116, which is slight agreement and does not speak to the three-category taxonomy the paper uses. Until the three-category study is complete, the failure-type taxonomy should be treated as exploratory,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with the largest gains on the hardest, "deceptive", failure cases. The benefit is not universal: Gemini 3.6 Flash gains only 0.9pp, which is not significant.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