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gutter="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[11], which uses GPT-4V to evaluate web agent trajectories; however, they do not systematically vary the reference information provided to the judge or analyze calibration properties. Broader agent benchmarks such as AgentBench [12], Mind2Web [13], and TravelPlanner [14]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[15], self-debugging [8], and ReAct-style reasoning-action loops [16]. Reflexion [15]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[17], [18] and verbalized confidence elicitation [19], [20]. Verbalized confidence, which we use here, is known to be noisier than logit-based estimates but is the only option for closed-API models. We adopt the verbalized 1-10 scale for compatibility across providers and analyze calibration with both Expected Calibration Error [21], [18]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[22]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[23]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computed per-protocol over the instances with a parseable verdict; Appendix D reports the all-task rate that counts an invalid response against the verifier.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[24]: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[25]: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[21], [18]: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[22]</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 × 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[26])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pStyle w:val="Heading3"/>
        <w:jc w:val="both"/>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Heading3"/>
        <w:jc w:val="both"/>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[27]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On the conventional benchmarks for interpreting kappa [28] this falls below even slight agreement.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[18].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[19], [20].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[19];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 s (GPT-4.1 Mini) to 8.3 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pStyle w:val="Heading2"/>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pStyle w:val="Normal"/>
        <w:jc w:val="center"/>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Heading2"/>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Heading2"/>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center"/>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[29].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Replication on other benchmarks and on trajectories from other agent architectures is the single most useful extension of this work, and nothing in our design prevents it: the harness takes any set of final screenshots with ground-truth labels.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[19], [20]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[13]; (2) inclusion of open-weight verifiers and a non-LLM-generated text-reference source to rule out reference-generation-circularity effects; (3) iterative self-reflection [15]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All verification runs reported here were executed between June and September 2026 against the model versions pinned in config.py, and each result row records the model_version string the provider returned. The exact state of the repository behind this revision is tagged v1.1-ieee-access-r1, so every number reported here can be traced to the code and data at that tag. 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A.4 Text-Reference Generation Prompt</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references are produced by GPT-4.1 Nano from two inputs, the task description and the benchmark's evaluation criteria, with this prompt. The no-criteria ablation in Section 5.2.3 uses the same prompt with the evaluation criteria line removed, and the cross-generator condition in Section 5.2.2 uses it unchanged with Claude Sonnet 4 as the generator.</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You are helping evaluate web automation agents. Given the following web task</w:t>
      </w: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description and the evaluation criteria used by the benchmark, produce a 1-3</w:t>
      </w: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sentence natural-language description of what the final web page should look</w:t>
      </w: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like if the task was completed successfully. Focus on what semantic content /</w:t>
      </w: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state should be visible. Do NOT describe the layout (colors, fonts, positions).</w:t>
      </w: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Do NOT include 'In conclusion' or preamble. Output ONLY the description.</w:t>
      </w:r>
    </w:p>
    <w:p>
      <w:pPr>
        <w:jc w:val="left"/>
        <w:rPr>
          <w:rFonts w:ascii="Times New Roman" w:cs="Times New Roman" w:eastAsia="Times New Roman" w:hAnsi="Times New Roman"/>
          <w:sz w:val="18"/>
          <w:szCs w:val="18"/>
        </w:rPr>
      </w:pP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Task: {task_text}</w:t>
      </w:r>
    </w:p>
    <w:p>
      <w:pPr>
        <w:jc w:val="left"/>
        <w:rPr>
          <w:rFonts w:ascii="Times New Roman" w:cs="Times New Roman" w:eastAsia="Times New Roman" w:hAnsi="Times New Roman"/>
          <w:sz w:val="18"/>
          <w:szCs w:val="18"/>
        </w:rPr>
      </w:pP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Evaluation criteria: {eval_criteria}</w:t>
      </w:r>
    </w:p>
    <w:p>
      <w:pPr>
        <w:jc w:val="left"/>
        <w:rPr>
          <w:rFonts w:ascii="Times New Roman" w:cs="Times New Roman" w:eastAsia="Times New Roman" w:hAnsi="Times New Roman"/>
          <w:sz w:val="18"/>
          <w:szCs w:val="18"/>
        </w:rPr>
      </w:pPr>
    </w:p>
    <w:p>
      <w:pPr>
        <w:jc w:val="left"/>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Expected outcome description:</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 the task “Find me the cheapest blue kayak on this site” (vwa_classifieds_0) this yields: “The final web page should display detailed information about the cheapest blue kayak available, including its price, description, and images, with the URL indicating the specific item page.” All 909 instances have a reference; none is empty.</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40"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620"/>
        <w:gridCol w:w="900"/>
        <w:gridCol w:w="900"/>
        <w:gridCol w:w="1120"/>
      </w:tblGrid>
      <w:tr>
        <w:trPr>
          <w:cantSplit w:val="1"/>
          <w:tblHeader w:val="1"/>
        </w:trPr>
        <w:tc>
          <w:tcPr>
            <w:shd w:fill="auto" w:val="clear"/>
            <w:tcMar>
              <w:top w:w="100.0" w:type="dxa"/>
              <w:left w:w="50.0" w:type="dxa"/>
              <w:bottom w:w="100.0" w:type="dxa"/>
              <w:right w:w="5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Condition</w:t>
            </w:r>
          </w:p>
        </w:tc>
        <w:tc>
          <w:tcPr>
            <w:shd w:fill="auto" w:val="clear"/>
            <w:tcMar>
              <w:top w:w="100.0" w:type="dxa"/>
              <w:left w:w="50.0" w:type="dxa"/>
              <w:bottom w:w="100.0" w:type="dxa"/>
              <w:right w:w="5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valid</w:t>
            </w:r>
          </w:p>
        </w:tc>
        <w:tc>
          <w:tcPr>
            <w:shd w:fill="auto" w:val="clear"/>
            <w:tcMar>
              <w:top w:w="100.0" w:type="dxa"/>
              <w:left w:w="50.0" w:type="dxa"/>
              <w:bottom w:w="100.0" w:type="dxa"/>
              <w:right w:w="5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50.0" w:type="dxa"/>
              <w:bottom w:w="100.0" w:type="dxa"/>
              <w:right w:w="50.0" w:type="dxa"/>
            </w:tcMar>
            <w:vAlign w:val="top"/>
          </w:tcPr>
          <w:p w:rsidR="00000000" w:rsidDel="00000000" w:rsidP="00000000" w:rsidRDefault="00000000" w:rsidRPr="00000000" w14:paraId="0000038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w:t>
            </w:r>
          </w:p>
        </w:tc>
        <w:tc>
          <w:tcPr>
            <w:shd w:fill="auto" w:val="clear"/>
            <w:tcMar>
              <w:top w:w="100.0" w:type="dxa"/>
              <w:left w:w="50.0" w:type="dxa"/>
              <w:bottom w:w="100.0" w:type="dxa"/>
              <w:right w:w="50.0" w:type="dxa"/>
            </w:tcMar>
            <w:vAlign w:val="top"/>
          </w:tcPr>
          <w:p w:rsidR="00000000" w:rsidDel="00000000" w:rsidP="00000000" w:rsidRDefault="00000000" w:rsidRPr="00000000" w14:paraId="0000038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8.8%</w:t>
            </w:r>
          </w:p>
        </w:tc>
        <w:tc>
          <w:tcPr>
            <w:shd w:fill="auto" w:val="clear"/>
            <w:tcMar>
              <w:top w:w="100.0" w:type="dxa"/>
              <w:left w:w="50.0" w:type="dxa"/>
              <w:bottom w:w="100.0" w:type="dxa"/>
              <w:right w:w="50.0" w:type="dxa"/>
            </w:tcMar>
            <w:vAlign w:val="top"/>
          </w:tcPr>
          <w:p w:rsidR="00000000" w:rsidDel="00000000" w:rsidP="00000000" w:rsidRDefault="00000000" w:rsidRPr="00000000" w14:paraId="0000038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16.8%</w:t>
            </w:r>
          </w:p>
        </w:tc>
        <w:tc>
          <w:tcPr>
            <w:shd w:fill="auto" w:val="clear"/>
            <w:tcMar>
              <w:top w:w="100.0" w:type="dxa"/>
              <w:left w:w="50.0" w:type="dxa"/>
              <w:bottom w:w="100.0" w:type="dxa"/>
              <w:right w:w="50.0" w:type="dxa"/>
            </w:tcMar>
            <w:vAlign w:val="top"/>
          </w:tcPr>
          <w:p w:rsidR="00000000" w:rsidDel="00000000" w:rsidP="00000000" w:rsidRDefault="00000000" w:rsidRPr="00000000" w14:paraId="0000038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100.0" w:type="dxa"/>
              <w:left w:w="50.0" w:type="dxa"/>
              <w:bottom w:w="100.0" w:type="dxa"/>
              <w:right w:w="50.0" w:type="dxa"/>
            </w:tcMar>
            <w:vAlign w:val="top"/>
          </w:tcPr>
          <w:p w:rsidR="00000000" w:rsidDel="00000000" w:rsidP="00000000" w:rsidRDefault="00000000" w:rsidRPr="00000000" w14:paraId="0000038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8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8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16.4%</w:t>
            </w:r>
          </w:p>
        </w:tc>
        <w:tc>
          <w:tcPr>
            <w:shd w:fill="auto" w:val="clear"/>
            <w:tcMar>
              <w:top w:w="100.0" w:type="dxa"/>
              <w:left w:w="50.0" w:type="dxa"/>
              <w:bottom w:w="100.0" w:type="dxa"/>
              <w:right w:w="50.0" w:type="dxa"/>
            </w:tcMar>
            <w:vAlign w:val="top"/>
          </w:tcPr>
          <w:p w:rsidR="00000000" w:rsidDel="00000000" w:rsidP="00000000" w:rsidRDefault="00000000" w:rsidRPr="00000000" w14:paraId="0000038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100.0" w:type="dxa"/>
              <w:left w:w="50.0" w:type="dxa"/>
              <w:bottom w:w="100.0" w:type="dxa"/>
              <w:right w:w="50.0" w:type="dxa"/>
            </w:tcMar>
            <w:vAlign w:val="top"/>
          </w:tcPr>
          <w:p w:rsidR="00000000" w:rsidDel="00000000" w:rsidP="00000000" w:rsidRDefault="00000000" w:rsidRPr="00000000" w14:paraId="0000039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w:t>
            </w:r>
          </w:p>
        </w:tc>
        <w:tc>
          <w:tcPr>
            <w:shd w:fill="auto" w:val="clear"/>
            <w:tcMar>
              <w:top w:w="100.0" w:type="dxa"/>
              <w:left w:w="50.0" w:type="dxa"/>
              <w:bottom w:w="100.0" w:type="dxa"/>
              <w:right w:w="50.0" w:type="dxa"/>
            </w:tcMar>
            <w:vAlign w:val="top"/>
          </w:tcPr>
          <w:p w:rsidR="00000000" w:rsidDel="00000000" w:rsidP="00000000" w:rsidRDefault="00000000" w:rsidRPr="00000000" w14:paraId="0000039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20.0%</w:t>
            </w:r>
          </w:p>
        </w:tc>
        <w:tc>
          <w:tcPr>
            <w:shd w:fill="auto" w:val="clear"/>
            <w:tcMar>
              <w:top w:w="100.0" w:type="dxa"/>
              <w:left w:w="50.0" w:type="dxa"/>
              <w:bottom w:w="100.0" w:type="dxa"/>
              <w:right w:w="50.0" w:type="dxa"/>
            </w:tcMar>
            <w:vAlign w:val="top"/>
          </w:tcPr>
          <w:p w:rsidR="00000000" w:rsidDel="00000000" w:rsidP="00000000" w:rsidRDefault="00000000" w:rsidRPr="00000000" w14:paraId="0000039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18.9%</w:t>
            </w:r>
          </w:p>
        </w:tc>
        <w:tc>
          <w:tcPr>
            <w:shd w:fill="auto" w:val="clear"/>
            <w:tcMar>
              <w:top w:w="100.0" w:type="dxa"/>
              <w:left w:w="50.0" w:type="dxa"/>
              <w:bottom w:w="100.0" w:type="dxa"/>
              <w:right w:w="50.0" w:type="dxa"/>
            </w:tcMar>
            <w:vAlign w:val="top"/>
          </w:tcPr>
          <w:p w:rsidR="00000000" w:rsidDel="00000000" w:rsidP="00000000" w:rsidRDefault="00000000" w:rsidRPr="00000000" w14:paraId="0000039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100.0" w:type="dxa"/>
              <w:left w:w="50.0" w:type="dxa"/>
              <w:bottom w:w="100.0" w:type="dxa"/>
              <w:right w:w="50.0" w:type="dxa"/>
            </w:tcMar>
            <w:vAlign w:val="top"/>
          </w:tcPr>
          <w:p w:rsidR="00000000" w:rsidDel="00000000" w:rsidP="00000000" w:rsidRDefault="00000000" w:rsidRPr="00000000" w14:paraId="0000039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9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9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w:t>
            </w:r>
          </w:p>
        </w:tc>
        <w:tc>
          <w:tcPr>
            <w:shd w:fill="auto" w:val="clear"/>
            <w:tcMar>
              <w:top w:w="100.0" w:type="dxa"/>
              <w:left w:w="50.0" w:type="dxa"/>
              <w:bottom w:w="100.0" w:type="dxa"/>
              <w:right w:w="50.0" w:type="dxa"/>
            </w:tcMar>
            <w:vAlign w:val="top"/>
          </w:tcPr>
          <w:p w:rsidR="00000000" w:rsidDel="00000000" w:rsidP="00000000" w:rsidRDefault="00000000" w:rsidRPr="00000000" w14:paraId="0000039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All-task (intention-to-treat) accuracy. </w:t>
      </w:r>
      <w:r>
        <w:rPr>
          <w:rFonts w:ascii="Times New Roman" w:cs="Times New Roman" w:eastAsia="Times New Roman" w:hAnsi="Times New Roman"/>
          <w:sz w:val="20"/>
          <w:szCs w:val="20"/>
          <w:rtl w:val="0"/>
        </w:rPr>
        <w:t xml:space="preserve">Every accuracy in the body of the paper is per-protocol: it is computed over the instances for which the verifier returned a parseable SUCCESS or FAILURE verdict. A deployment cannot discard the others, so we also report the all-task rate, which counts every instance in the denominator and treats an unparseable or failed response as a verification the system did not deliver. The two agree to within 0.001 for thirteen of the twenty runs. The seven that differ by more belong to GPT-4.1 Nano, where the largest shift is Condition D at 0.025, and to Claude Sonnet 4, which has the lowest valid-response rates of any verifier: its Condition C falls from 0.803 to 0.721 and Condition D from 0.752 to 0.680. That difference changes the ranking within Condition C, where Claude leads on the per-protocol figure but sits behind Gemini 3.6 Flash (0.782) and GPT-4.1 Mini (0.735) on the all-task figure. The Condition B result that our recommendation rests on is not affected: Claude remains the most accurate verifier under both conventions (0.867 per-protocol, 0.854 all-task). Escalating an invalid response to a human is the other reasonable policy; its cost is the complement of the valid-response rate in the table below, which is at most 10.2 percent of instances for any run.</w:t>
      </w:r>
    </w:p>
    <w:p>
      <w:pPr>
        <w:jc w:val="both"/>
        <w:rPr>
          <w:rFonts w:ascii="Times New Roman" w:cs="Times New Roman" w:eastAsia="Times New Roman" w:hAnsi="Times New Roman"/>
          <w:sz w:val="20"/>
          <w:szCs w:val="20"/>
        </w:rPr>
      </w:pP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0"/>
        <w:gridCol w:w="490"/>
        <w:gridCol w:w="740"/>
        <w:gridCol w:w="1010"/>
        <w:gridCol w:w="96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 / 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Per-protocol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All-task</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0.836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0.714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0.745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0.867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0.854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0.803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0.752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0.680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r>
    </w:tbl>
    <w:p>
      <w:pPr>
        <w:jc w:val="both"/>
        <w:rPr>
          <w:rFonts w:ascii="Times New Roman" w:cs="Times New Roman" w:eastAsia="Times New Roman" w:hAnsi="Times New Roman"/>
          <w:sz w:val="20"/>
          <w:szCs w:val="20"/>
        </w:rPr>
      </w:pP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modes are of two kinds. </w:t>
      </w:r>
      <w:r>
        <w:rPr>
          <w:rFonts w:ascii="Times New Roman" w:cs="Times New Roman" w:eastAsia="Times New Roman" w:hAnsi="Times New Roman"/>
          <w:sz w:val="20"/>
          <w:szCs w:val="20"/>
          <w:rtl w:val="0"/>
        </w:rPr>
        <w:t xml:space="preserve">A PARSE_ERROR is a response the provider returned but from which no JSON verdict could be recovered after the five-step strategy above; an API_ERROR is a call that never returned one after 6 attempts. They are not interchangeable: the first is a model behaviour and the second is an infrastructure failure. Across all 10,560 calls there were 100 of the former and 5 of the latter, so essentially all invalid responses are parsing failures, and 77% of those come from Claude Sonnet 4, which prefers prose to JSON when it is uncertain.</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1140"/>
        <w:gridCol w:w="1000"/>
        <w:gridCol w:w="100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Parse err.</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API err.</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2087/2112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2110/2112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2111/2112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2035/2112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2112/2112</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thresholds are swept and evaluated on the same 147 instances, so the operating points below are in-sample and describe this dataset rather than estimating out-of-sample deployment performance. With 147 instances a held-out split would leave roughly 73 per half, too few to estimate a threshold and its accuracy independently, so we report the curve descriptively and make no deployment guarantee from it.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Success-conditional reliability. </w:t>
      </w:r>
      <w:r>
        <w:rPr>
          <w:rFonts w:ascii="Times New Roman" w:cs="Times New Roman" w:eastAsia="Times New Roman" w:hAnsi="Times New Roman"/>
          <w:sz w:val="20"/>
          <w:szCs w:val="20"/>
          <w:rtl w:val="0"/>
        </w:rPr>
        <w:t xml:space="preserve">Aggregate accuracy and ECE describe a verifier over all of its predictions, but a deployment that auto-accepts SUCCESS is exposed only to the SUCCESS predictions. The table below restricts attention to those, in Condition B, and compares how often they are right with how confident the model was when it made them. No verifier is safe to auto-accept on these numbers. GPT-4.1 states a mean confidence of 0.996 on predictions that are correct 46.8 percent of the time, a gap of 0.527, and Gemini 3.6 Flash is similar. Claude Sonnet 4 is again the least miscalibrated, and is still wrong on 41.9 percent of the successes it reports. This is the quantity a practitioner needs, and it is not recoverable from overall accuracy or from ECE computed across both classes.</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0"/>
        <w:gridCol w:w="1000"/>
        <w:gridCol w:w="760"/>
        <w:gridCol w:w="680"/>
        <w:gridCol w:w="58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Pred. SUCCESS</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Precision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Mean conf.</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Gap</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0.507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0.958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+0.451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0.519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0.942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+0.423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0.468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0.996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0.796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+0.215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0.413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+0.549</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 × 2048 PNG (portrait, 5:8 aspect ratio). They are sent to each provider without any resizing or compression, base64-encoded. Reference screenshots from human trajectories are 800 × 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 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 s, 2 s, 4 s, 8 s, 16 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Xue, T., Qi, W., Shi, T., Song, C.H., Gou, B., Song, D., Sun, H., Su, Y. "An Illusion of Progress? Assessing the Current State of Web Agents." Conference on Language Modeling (COLM), 2025. Available: https://arxiv.org/abs/2504.01382</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[29]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1" name="photo_vt"/>
            <a:graphic xmlns:a="http://schemas.openxmlformats.org/drawingml/2006/main">
              <a:graphicData uri="http://schemas.openxmlformats.org/drawingml/2006/picture">
                <pic:pic xmlns:pic="http://schemas.openxmlformats.org/drawingml/2006/picture">
                  <pic:nvPicPr>
                    <pic:cNvPr id="0" name="photo_vt"/>
                    <pic:cNvPicPr preferRelativeResize="0"/>
                  </pic:nvPicPr>
                  <pic:blipFill>
                    <a:blip r:embed="rId44"/>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2" name="photo_sp"/>
            <a:graphic xmlns:a="http://schemas.openxmlformats.org/drawingml/2006/main">
              <a:graphicData uri="http://schemas.openxmlformats.org/drawingml/2006/picture">
                <pic:pic xmlns:pic="http://schemas.openxmlformats.org/drawingml/2006/picture">
                  <pic:nvPicPr>
                    <pic:cNvPr id="0" name="photo_sp"/>
                    <pic:cNvPicPr preferRelativeResize="0"/>
                  </pic:nvPicPr>
                  <pic:blipFill>
                    <a:blip r:embed="rId45"/>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gutter="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 Id="rId44" Type="http://schemas.openxmlformats.org/officeDocument/2006/relationships/image" Target="media/author_vishwak.png"/><Relationship Id="rId45" Type="http://schemas.openxmlformats.org/officeDocument/2006/relationships/image" Target="media/author_shravani.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