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&amp;lt;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 together with an inter-annotator agreement study of the taxonomy it relies on. The agreement study returned Cohen's kappa of 0.000, so we report the breakdown descriptively and withdraw the claim that references act selectively on deceptive failures.</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 Failure types are the original single-annotator labels, which a two-annotator study found not to be reproducible (Cohen's kappa 0.000, Section 5.3); the rows are descriptive and are not used to support any claim.</w:t>
      </w:r>
      <w:r>
        <w:rPr>
          <w:rFonts w:ascii="Times New Roman" w:cs="Times New Roman" w:eastAsia="Times New Roman" w:hAnsi="Times New Roman"/>
          <w:sz w:val="20"/>
          <w:szCs w:val="20"/>
          <w:rtl w:val="0"/>
        </w:rPr>
        <w:t xml:space="preserve"/>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(&amp;gt;99%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0"/>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