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jc w:val="both"/>
      </w:pPr>
      <w:r>
        <w:rPr>
          <w:rFonts w:ascii="Times New Roman" w:cs="Times New Roman" w:eastAsia="Times New Roman" w:hAnsi="Times New Roman"/>
          <w:sz w:val="20"/>
          <w:szCs w:val="20"/>
          <w:rtl w:val="0"/>
        </w:rP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controlled comparison</w:t>
      </w:r>
      <w:r>
        <w:rPr>
          <w:rFonts w:ascii="Times New Roman" w:cs="Times New Roman" w:eastAsia="Times New Roman" w:hAnsi="Times New Roman"/>
          <w:sz w:val="20"/>
          <w:szCs w:val="20"/>
          <w:rtl w:val="0"/>
        </w:rPr>
        <w:t xml:space="preserve"> of reference modalities for LMM post-hoc verification on a fixed set of VWA trajectories, spanning three closed-API model families. Text references improve accuracy by 6.2 to 20.6 percentage points for four of the five verifiers, each significant after Bonferroni correction, while the fifth gains little and already has the strongest no-reference baseline. Visual references are model-dependent on the 147-instance subset: they degrade GPT-4.1 and GPT-4.1 Nano, improve GPT-4.1 Mini and Claude Sonnet 4, and leave Gemini 3.6 Flash unchanged.</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w:t>
      </w:r>
      <w:r>
        <w:rPr>
          <w:rFonts w:ascii="Times New Roman" w:cs="Times New Roman" w:eastAsia="Times New Roman" w:hAnsi="Times New Roman"/>
          <w:sz w:val="20"/>
          <w:szCs w:val="20"/>
          <w:rtl w:val="0"/>
        </w:rPr>
        <w:t xml:space="preserve"> together with an inter-annotator agreement study of the taxonomy it relies on. The agreement study returned Cohen's kappa of 0.000, so we report the breakdown descriptively and withdraw the claim that references act selectively on deceptive failures.</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Times New Roman" w:cs="Gungsuh" w:eastAsia="Gungsuh" w:hAnsi="Times New Roman"/>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 Figure 1 summarises the framework: its inputs, the prompt construction for each condition, and the verdict and confidence it returns.</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rHeight w:val="9.4775390625" w:hRule="atLeast"/>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05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60.0" w:type="dxa"/>
              <w:bottom w:w="100.0" w:type="dxa"/>
              <w:right w:w="60.0" w:type="dxa"/>
            </w:tcMar>
            <w:vAlign w:val="top"/>
          </w:tcPr>
          <w:p w:rsidR="00000000" w:rsidDel="00000000" w:rsidP="00000000" w:rsidRDefault="00000000" w:rsidRPr="00000000" w14:paraId="0000005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60.0" w:type="dxa"/>
              <w:bottom w:w="100.0" w:type="dxa"/>
              <w:right w:w="60.0" w:type="dxa"/>
            </w:tcMar>
            <w:vAlign w:val="top"/>
          </w:tcPr>
          <w:p w:rsidR="00000000" w:rsidDel="00000000" w:rsidP="00000000" w:rsidRDefault="00000000" w:rsidRPr="00000000" w14:paraId="0000005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60.0" w:type="dxa"/>
              <w:bottom w:w="100.0" w:type="dxa"/>
              <w:right w:w="60.0" w:type="dxa"/>
            </w:tcMar>
            <w:vAlign w:val="top"/>
          </w:tcPr>
          <w:p w:rsidR="00000000" w:rsidDel="00000000" w:rsidP="00000000" w:rsidRDefault="00000000" w:rsidRPr="00000000" w14:paraId="0000005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0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60.0" w:type="dxa"/>
              <w:bottom w:w="100.0" w:type="dxa"/>
              <w:right w:w="60.0" w:type="dxa"/>
            </w:tcMar>
            <w:vAlign w:val="top"/>
          </w:tcPr>
          <w:p w:rsidR="00000000" w:rsidDel="00000000" w:rsidP="00000000" w:rsidRDefault="00000000" w:rsidRPr="00000000" w14:paraId="000000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60.0" w:type="dxa"/>
              <w:bottom w:w="100.0" w:type="dxa"/>
              <w:right w:w="60.0" w:type="dxa"/>
            </w:tcMar>
            <w:vAlign w:val="top"/>
          </w:tcPr>
          <w:p w:rsidR="00000000" w:rsidDel="00000000" w:rsidP="00000000" w:rsidRDefault="00000000" w:rsidRPr="00000000" w14:paraId="000000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0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60.0" w:type="dxa"/>
              <w:bottom w:w="100.0" w:type="dxa"/>
              <w:right w:w="60.0" w:type="dxa"/>
            </w:tcMar>
            <w:vAlign w:val="top"/>
          </w:tcPr>
          <w:p w:rsidR="00000000" w:rsidDel="00000000" w:rsidP="00000000" w:rsidRDefault="00000000" w:rsidRPr="00000000" w14:paraId="000000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60.0" w:type="dxa"/>
              <w:bottom w:w="100.0" w:type="dxa"/>
              <w:right w:w="60.0" w:type="dxa"/>
            </w:tcMar>
            <w:vAlign w:val="top"/>
          </w:tcPr>
          <w:p w:rsidR="00000000" w:rsidDel="00000000" w:rsidP="00000000" w:rsidRDefault="00000000" w:rsidRPr="00000000" w14:paraId="000000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60.0" w:type="dxa"/>
              <w:bottom w:w="100.0" w:type="dxa"/>
              <w:right w:w="60.0" w:type="dxa"/>
            </w:tcMar>
            <w:vAlign w:val="top"/>
          </w:tcPr>
          <w:p w:rsidR="00000000" w:rsidDel="00000000" w:rsidP="00000000" w:rsidRDefault="00000000" w:rsidRPr="00000000" w14:paraId="0000006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60.0" w:type="dxa"/>
              <w:bottom w:w="100.0" w:type="dxa"/>
              <w:right w:w="60.0" w:type="dxa"/>
            </w:tcMar>
            <w:vAlign w:val="top"/>
          </w:tcPr>
          <w:p w:rsidR="00000000" w:rsidDel="00000000" w:rsidP="00000000" w:rsidRDefault="00000000" w:rsidRPr="00000000" w14:paraId="0000006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60.0" w:type="dxa"/>
              <w:bottom w:w="100.0" w:type="dxa"/>
              <w:right w:w="60.0" w:type="dxa"/>
            </w:tcMar>
            <w:vAlign w:val="top"/>
          </w:tcPr>
          <w:p w:rsidR="00000000" w:rsidDel="00000000" w:rsidP="00000000" w:rsidRDefault="00000000" w:rsidRPr="00000000" w14:paraId="0000006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880"/>
        <w:gridCol w:w="1070"/>
        <w:gridCol w:w="122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Family</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Params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Vision</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0"/>
        <w:gridCol w:w="1300"/>
        <w:gridCol w:w="1120"/>
        <w:gridCol w:w="1020"/>
      </w:tblGrid>
      <w:tr>
        <w:trPr>
          <w:cantSplit w:val="1"/>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Helvetica Neue" w:cs="Helvetica Neue" w:eastAsia="Helvetica Neue" w:hAnsi="Helvetica Neue"/>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computed per-protocol over the instances with a parseable verdict; Appendix D reports the all-task rate that counts an invalid response against the verifier.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Helvetica Neue" w:cs="Helvetica Neue" w:eastAsia="Helvetica Neue" w:hAnsi="Helvetica Neue"/>
          <w:b w:val="1"/>
          <w:bCs w:val="1"/>
          <w:i w:val="1"/>
          <w:iCs w:val="1"/>
          <w:sz w:val="18"/>
          <w:szCs w:val="18"/>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w:t>
      </w:r>
      <w:r>
        <w:rPr>
          <w:rFonts w:ascii="Times New Roman" w:cs="Times New Roman" w:eastAsia="Times New Roman" w:hAnsi="Times New Roman"/>
          <w:sz w:val="20"/>
          <w:szCs w:val="20"/>
          <w:rtl w:val="0"/>
        </w:rPr>
        <w:t xml:space="preserve">: For the 147 visual-reference instances we compute the Structural Similarity Index between each agent screenshot and its human reference screenshot. The two are resampled to a common 800 × 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Helvetica Neue" w:cs="Helvetica Neue" w:eastAsia="Helvetica Neue" w:hAnsi="Helvetica Neue"/>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 and Figures 2 and 3 plot the same accuracy and F1 values.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0"/>
        <w:gridCol w:w="350"/>
        <w:gridCol w:w="310"/>
        <w:gridCol w:w="950"/>
        <w:gridCol w:w="950"/>
        <w:gridCol w:w="390"/>
        <w:gridCol w:w="380"/>
        <w:gridCol w:w="370"/>
      </w:tblGrid>
      <w:tr>
        <w:trPr>
          <w:cantSplit w:val="1"/>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N</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Accuracy</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F1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Bal.Acc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Rec</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B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[.255,.389]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.836 [.812,.861]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.488 [.417,.557]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.690</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.470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 [.599,.748]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.368 [.222,.500]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D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D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.739 [.662,.810]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.373 [.200,.525]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.344</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.407</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D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.638 [.607,.669]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.396 [.344,.446]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.844 [.820,.867]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.606 [.546,.663]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.797</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.735 [.660,.803]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.339 [.179,.486]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.357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F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F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.762 [.694,.830]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.462 [.308,.613]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.536</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F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.700 [.671,.731]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.436 [.380,.490]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.315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.705</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.821 [.796,.846]</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.541 [.477,.603]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.748</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.585 [.503,.667]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.371 [.244,.494]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1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1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.646 [.565,.721]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.409 [.270,.527]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1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 [.404,.527]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.592</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.867 [.845,.889]</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.627 [.562,.688]</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.792</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.803 [.735,.871]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.594 [.441,.719]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3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3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.752 [.677,.827]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.492 [.338,.630]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3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.779 [.754,.807]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.501 [.440,.559]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.788 [.760,.814]</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.514 [.453,.571]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.744</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.782 [.714,.850]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.543 [.373,.676]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.452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5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5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.810 [.748,.871]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.576 [.421,.714]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w:t>
      </w:r>
      <w:r>
        <w:rPr>
          <w:rFonts w:ascii="Times New Roman" w:cs="Times New Roman" w:eastAsia="Times New Roman" w:hAnsi="Times New Roman"/>
          <w:sz w:val="20"/>
          <w:szCs w:val="20"/>
          <w:rtl w:val="0"/>
        </w:rPr>
        <w:t xml:space="preserve">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Times New Roman" w:cs="Times New Roman" w:eastAsia="Times New Roman" w:hAnsi="Times New Roman"/>
          <w:sz w:val="20"/>
          <w:szCs w:val="20"/>
          <w:rtl w:val="0"/>
        </w:rPr>
        <w:t xml:space="preserve">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p>
    <w:p>
      <w:pPr>
        <w:jc w:val="both"/>
      </w:pPr>
      <w:r>
        <w:rPr>
          <w:rFonts w:ascii="Times New Roman" w:cs="Times New Roman" w:eastAsia="Times New Roman" w:hAnsi="Times New Roman"/>
          <w:b w:val="1"/>
          <w:bCs w:val="1"/>
          <w:sz w:val="20"/>
          <w:szCs w:val="20"/>
          <w:rtl w:val="0"/>
        </w:rPr>
        <w:t xml:space="preserve">Finding 3: Dual references (D) rarely outperform text-only (B).</w:t>
      </w:r>
      <w:r>
        <w:rPr>
          <w:rFonts w:ascii="Times New Roman" w:cs="Times New Roman" w:eastAsia="Times New Roman" w:hAnsi="Times New Roman"/>
          <w:sz w:val="20"/>
          <w:szCs w:val="20"/>
          <w:rtl w:val="0"/>
        </w:rPr>
        <w:t xml:space="preserve">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Cardo" w:eastAsia="Cardo" w:hAnsi="Times New Roman"/>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915"/>
        <w:gridCol w:w="915"/>
        <w:gridCol w:w="915"/>
        <w:gridCol w:w="91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66">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67">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A→B</w:t>
            </w:r>
          </w:p>
        </w:tc>
        <w:tc>
          <w:tcPr>
            <w:shd w:fill="auto" w:val="clear"/>
            <w:tcMar>
              <w:top w:w="100.0" w:type="dxa"/>
              <w:left w:w="40.0" w:type="dxa"/>
              <w:bottom w:w="100.0" w:type="dxa"/>
              <w:right w:w="40.0" w:type="dxa"/>
            </w:tcMar>
            <w:vAlign w:val="top"/>
          </w:tcPr>
          <w:p w:rsidR="00000000" w:rsidDel="00000000" w:rsidP="00000000" w:rsidRDefault="00000000" w:rsidRPr="00000000" w14:paraId="00000168">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A→C</w:t>
            </w:r>
          </w:p>
        </w:tc>
        <w:tc>
          <w:tcPr>
            <w:shd w:fill="auto" w:val="clear"/>
            <w:tcMar>
              <w:top w:w="100.0" w:type="dxa"/>
              <w:left w:w="40.0" w:type="dxa"/>
              <w:bottom w:w="100.0" w:type="dxa"/>
              <w:right w:w="40.0" w:type="dxa"/>
            </w:tcMar>
            <w:vAlign w:val="top"/>
          </w:tcPr>
          <w:p w:rsidR="00000000" w:rsidDel="00000000" w:rsidP="00000000" w:rsidRDefault="00000000" w:rsidRPr="00000000" w14:paraId="00000169">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B→C</w:t>
            </w:r>
          </w:p>
        </w:tc>
        <w:tc>
          <w:tcPr>
            <w:shd w:fill="auto" w:val="clear"/>
            <w:tcMar>
              <w:top w:w="100.0" w:type="dxa"/>
              <w:left w:w="40.0" w:type="dxa"/>
              <w:bottom w:w="100.0" w:type="dxa"/>
              <w:right w:w="40.0" w:type="dxa"/>
            </w:tcMar>
            <w:vAlign w:val="top"/>
          </w:tcPr>
          <w:p w:rsidR="00000000" w:rsidDel="00000000" w:rsidP="00000000" w:rsidRDefault="00000000" w:rsidRPr="00000000" w14:paraId="0000016A">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B→D</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6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χ²=17.8, p=2e-05*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χ²=7.5, p=0.006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χ²=132.6, p=0e+00*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χ²=5.8, p=0.016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χ²=2.6, p=0.110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p=0.441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χ²=60.0, p=9e-15*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χ²=5.0, p=0.025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χ²=16.0, p=6e-05*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χ²=8.2, p=0.004</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χ²=41.3, p=1e-10*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p=0.832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p=0.405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χ²=4.7, p=0.031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p=0.450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p=1.000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p=0.332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Times New Roman" w:cs="Cardo" w:eastAsia="Cardo"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Times New Roman" w:cs="Gungsuh" w:eastAsia="Gungsuh" w:hAnsi="Times New Roman"/>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Times New Roman" w:cs="Cardo" w:eastAsia="Cardo" w:hAnsi="Times New Roman"/>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454"/>
        <w:gridCol w:w="453"/>
        <w:gridCol w:w="454"/>
        <w:gridCol w:w="453"/>
        <w:gridCol w:w="454"/>
        <w:gridCol w:w="453"/>
        <w:gridCol w:w="454"/>
        <w:gridCol w:w="45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8B">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8C">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D">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F1</w:t>
            </w:r>
          </w:p>
        </w:tc>
        <w:tc>
          <w:tcPr>
            <w:shd w:fill="auto" w:val="clear"/>
            <w:tcMar>
              <w:top w:w="100.0" w:type="dxa"/>
              <w:left w:w="40.0" w:type="dxa"/>
              <w:bottom w:w="100.0" w:type="dxa"/>
              <w:right w:w="40.0" w:type="dxa"/>
            </w:tcMar>
            <w:vAlign w:val="top"/>
          </w:tcPr>
          <w:p w:rsidR="00000000" w:rsidDel="00000000" w:rsidP="00000000" w:rsidRDefault="00000000" w:rsidRPr="00000000" w14:paraId="0000018E">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F">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0">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1">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2">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3">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F1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19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.753</w:t>
            </w:r>
          </w:p>
        </w:tc>
        <w:tc>
          <w:tcPr>
            <w:shd w:fill="auto" w:val="clear"/>
            <w:tcMar>
              <w:top w:w="100.0" w:type="dxa"/>
              <w:left w:w="40.0" w:type="dxa"/>
              <w:bottom w:w="100.0" w:type="dxa"/>
              <w:right w:w="40.0" w:type="dxa"/>
            </w:tcMar>
            <w:vAlign w:val="top"/>
          </w:tcPr>
          <w:p w:rsidR="00000000" w:rsidDel="00000000" w:rsidP="00000000" w:rsidRDefault="00000000" w:rsidRPr="00000000" w14:paraId="0000019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.308</w:t>
            </w:r>
          </w:p>
        </w:tc>
        <w:tc>
          <w:tcPr>
            <w:shd w:fill="auto" w:val="clear"/>
            <w:tcMar>
              <w:top w:w="100.0" w:type="dxa"/>
              <w:left w:w="40.0" w:type="dxa"/>
              <w:bottom w:w="100.0" w:type="dxa"/>
              <w:right w:w="40.0" w:type="dxa"/>
            </w:tcMar>
            <w:vAlign w:val="top"/>
          </w:tcPr>
          <w:p w:rsidR="00000000" w:rsidDel="00000000" w:rsidP="00000000" w:rsidRDefault="00000000" w:rsidRPr="00000000" w14:paraId="0000019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.808</w:t>
            </w:r>
          </w:p>
        </w:tc>
        <w:tc>
          <w:tcPr>
            <w:shd w:fill="auto" w:val="clear"/>
            <w:tcMar>
              <w:top w:w="100.0" w:type="dxa"/>
              <w:left w:w="40.0" w:type="dxa"/>
              <w:bottom w:w="100.0" w:type="dxa"/>
              <w:right w:w="40.0" w:type="dxa"/>
            </w:tcMar>
            <w:vAlign w:val="top"/>
          </w:tcPr>
          <w:p w:rsidR="00000000" w:rsidDel="00000000" w:rsidP="00000000" w:rsidRDefault="00000000" w:rsidRPr="00000000" w14:paraId="0000019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.517</w:t>
            </w:r>
          </w:p>
        </w:tc>
        <w:tc>
          <w:tcPr>
            <w:shd w:fill="auto" w:val="clear"/>
            <w:tcMar>
              <w:top w:w="100.0" w:type="dxa"/>
              <w:left w:w="40.0" w:type="dxa"/>
              <w:bottom w:w="100.0" w:type="dxa"/>
              <w:right w:w="40.0" w:type="dxa"/>
            </w:tcMar>
            <w:vAlign w:val="top"/>
          </w:tcPr>
          <w:p w:rsidR="00000000" w:rsidDel="00000000" w:rsidP="00000000" w:rsidRDefault="00000000" w:rsidRPr="00000000" w14:paraId="0000019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.673</w:t>
            </w:r>
          </w:p>
        </w:tc>
        <w:tc>
          <w:tcPr>
            <w:shd w:fill="auto" w:val="clear"/>
            <w:tcMar>
              <w:top w:w="100.0" w:type="dxa"/>
              <w:left w:w="40.0" w:type="dxa"/>
              <w:bottom w:w="100.0" w:type="dxa"/>
              <w:right w:w="40.0" w:type="dxa"/>
            </w:tcMar>
            <w:vAlign w:val="top"/>
          </w:tcPr>
          <w:p w:rsidR="00000000" w:rsidDel="00000000" w:rsidP="00000000" w:rsidRDefault="00000000" w:rsidRPr="00000000" w14:paraId="0000019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.368</w:t>
            </w:r>
          </w:p>
        </w:tc>
        <w:tc>
          <w:tcPr>
            <w:shd w:fill="auto" w:val="clear"/>
            <w:tcMar>
              <w:top w:w="100.0" w:type="dxa"/>
              <w:left w:w="40.0" w:type="dxa"/>
              <w:bottom w:w="100.0" w:type="dxa"/>
              <w:right w:w="40.0" w:type="dxa"/>
            </w:tcMar>
            <w:vAlign w:val="top"/>
          </w:tcPr>
          <w:p w:rsidR="00000000" w:rsidDel="00000000" w:rsidP="00000000" w:rsidRDefault="00000000" w:rsidRPr="00000000" w14:paraId="0000019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.739</w:t>
            </w:r>
          </w:p>
        </w:tc>
        <w:tc>
          <w:tcPr>
            <w:shd w:fill="auto" w:val="clear"/>
            <w:tcMar>
              <w:top w:w="100.0" w:type="dxa"/>
              <w:left w:w="40.0" w:type="dxa"/>
              <w:bottom w:w="100.0" w:type="dxa"/>
              <w:right w:w="40.0" w:type="dxa"/>
            </w:tcMar>
            <w:vAlign w:val="top"/>
          </w:tcPr>
          <w:p w:rsidR="00000000" w:rsidDel="00000000" w:rsidP="00000000" w:rsidRDefault="00000000" w:rsidRPr="00000000" w14:paraId="0000019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19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.612</w:t>
            </w:r>
          </w:p>
        </w:tc>
        <w:tc>
          <w:tcPr>
            <w:shd w:fill="auto" w:val="clear"/>
            <w:tcMar>
              <w:top w:w="100.0" w:type="dxa"/>
              <w:left w:w="40.0" w:type="dxa"/>
              <w:bottom w:w="100.0" w:type="dxa"/>
              <w:right w:w="40.0" w:type="dxa"/>
            </w:tcMar>
            <w:vAlign w:val="top"/>
          </w:tcPr>
          <w:p w:rsidR="00000000" w:rsidDel="00000000" w:rsidP="00000000" w:rsidRDefault="00000000" w:rsidRPr="00000000" w14:paraId="0000019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.436</w:t>
            </w:r>
          </w:p>
        </w:tc>
        <w:tc>
          <w:tcPr>
            <w:shd w:fill="auto" w:val="clear"/>
            <w:tcMar>
              <w:top w:w="100.0" w:type="dxa"/>
              <w:left w:w="40.0" w:type="dxa"/>
              <w:bottom w:w="100.0" w:type="dxa"/>
              <w:right w:w="40.0" w:type="dxa"/>
            </w:tcMar>
            <w:vAlign w:val="top"/>
          </w:tcPr>
          <w:p w:rsidR="00000000" w:rsidDel="00000000" w:rsidP="00000000" w:rsidRDefault="00000000" w:rsidRPr="00000000" w14:paraId="000001A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.796</w:t>
            </w:r>
          </w:p>
        </w:tc>
        <w:tc>
          <w:tcPr>
            <w:shd w:fill="auto" w:val="clear"/>
            <w:tcMar>
              <w:top w:w="100.0" w:type="dxa"/>
              <w:left w:w="40.0" w:type="dxa"/>
              <w:bottom w:w="100.0" w:type="dxa"/>
              <w:right w:w="40.0" w:type="dxa"/>
            </w:tcMar>
            <w:vAlign w:val="top"/>
          </w:tcPr>
          <w:p w:rsidR="00000000" w:rsidDel="00000000" w:rsidP="00000000" w:rsidRDefault="00000000" w:rsidRPr="00000000" w14:paraId="000001A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.559</w:t>
            </w:r>
          </w:p>
        </w:tc>
        <w:tc>
          <w:tcPr>
            <w:shd w:fill="auto" w:val="clear"/>
            <w:tcMar>
              <w:top w:w="100.0" w:type="dxa"/>
              <w:left w:w="40.0" w:type="dxa"/>
              <w:bottom w:w="100.0" w:type="dxa"/>
              <w:right w:w="40.0" w:type="dxa"/>
            </w:tcMar>
            <w:vAlign w:val="top"/>
          </w:tcPr>
          <w:p w:rsidR="00000000" w:rsidDel="00000000" w:rsidP="00000000" w:rsidRDefault="00000000" w:rsidRPr="00000000" w14:paraId="000001A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.735</w:t>
            </w:r>
          </w:p>
        </w:tc>
        <w:tc>
          <w:tcPr>
            <w:shd w:fill="auto" w:val="clear"/>
            <w:tcMar>
              <w:top w:w="100.0" w:type="dxa"/>
              <w:left w:w="40.0" w:type="dxa"/>
              <w:bottom w:w="100.0" w:type="dxa"/>
              <w:right w:w="40.0" w:type="dxa"/>
            </w:tcMar>
            <w:vAlign w:val="top"/>
          </w:tcPr>
          <w:p w:rsidR="00000000" w:rsidDel="00000000" w:rsidP="00000000" w:rsidRDefault="00000000" w:rsidRPr="00000000" w14:paraId="000001A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.339</w:t>
            </w:r>
          </w:p>
        </w:tc>
        <w:tc>
          <w:tcPr>
            <w:shd w:fill="auto" w:val="clear"/>
            <w:tcMar>
              <w:top w:w="100.0" w:type="dxa"/>
              <w:left w:w="40.0" w:type="dxa"/>
              <w:bottom w:w="100.0" w:type="dxa"/>
              <w:right w:w="40.0" w:type="dxa"/>
            </w:tcMar>
            <w:vAlign w:val="top"/>
          </w:tcPr>
          <w:p w:rsidR="00000000" w:rsidDel="00000000" w:rsidP="00000000" w:rsidRDefault="00000000" w:rsidRPr="00000000" w14:paraId="000001A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.762</w:t>
            </w:r>
          </w:p>
        </w:tc>
        <w:tc>
          <w:tcPr>
            <w:shd w:fill="auto" w:val="clear"/>
            <w:tcMar>
              <w:top w:w="100.0" w:type="dxa"/>
              <w:left w:w="40.0" w:type="dxa"/>
              <w:bottom w:w="100.0" w:type="dxa"/>
              <w:right w:w="40.0" w:type="dxa"/>
            </w:tcMar>
            <w:vAlign w:val="top"/>
          </w:tcPr>
          <w:p w:rsidR="00000000" w:rsidDel="00000000" w:rsidP="00000000" w:rsidRDefault="00000000" w:rsidRPr="00000000" w14:paraId="000001A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.462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1A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.692</w:t>
            </w:r>
          </w:p>
        </w:tc>
        <w:tc>
          <w:tcPr>
            <w:shd w:fill="auto" w:val="clear"/>
            <w:tcMar>
              <w:top w:w="100.0" w:type="dxa"/>
              <w:left w:w="40.0" w:type="dxa"/>
              <w:bottom w:w="100.0" w:type="dxa"/>
              <w:right w:w="40.0" w:type="dxa"/>
            </w:tcMar>
            <w:vAlign w:val="top"/>
          </w:tcPr>
          <w:p w:rsidR="00000000" w:rsidDel="00000000" w:rsidP="00000000" w:rsidRDefault="00000000" w:rsidRPr="00000000" w14:paraId="000001A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.483</w:t>
            </w:r>
          </w:p>
        </w:tc>
        <w:tc>
          <w:tcPr>
            <w:shd w:fill="auto" w:val="clear"/>
            <w:tcMar>
              <w:top w:w="100.0" w:type="dxa"/>
              <w:left w:w="40.0" w:type="dxa"/>
              <w:bottom w:w="100.0" w:type="dxa"/>
              <w:right w:w="40.0" w:type="dxa"/>
            </w:tcMar>
            <w:vAlign w:val="top"/>
          </w:tcPr>
          <w:p w:rsidR="00000000" w:rsidDel="00000000" w:rsidP="00000000" w:rsidRDefault="00000000" w:rsidRPr="00000000" w14:paraId="000001A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A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.515</w:t>
            </w:r>
          </w:p>
        </w:tc>
        <w:tc>
          <w:tcPr>
            <w:shd w:fill="auto" w:val="clear"/>
            <w:tcMar>
              <w:top w:w="100.0" w:type="dxa"/>
              <w:left w:w="40.0" w:type="dxa"/>
              <w:bottom w:w="100.0" w:type="dxa"/>
              <w:right w:w="40.0" w:type="dxa"/>
            </w:tcMar>
            <w:vAlign w:val="top"/>
          </w:tcPr>
          <w:p w:rsidR="00000000" w:rsidDel="00000000" w:rsidP="00000000" w:rsidRDefault="00000000" w:rsidRPr="00000000" w14:paraId="000001A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.585</w:t>
            </w:r>
          </w:p>
        </w:tc>
        <w:tc>
          <w:tcPr>
            <w:shd w:fill="auto" w:val="clear"/>
            <w:tcMar>
              <w:top w:w="100.0" w:type="dxa"/>
              <w:left w:w="40.0" w:type="dxa"/>
              <w:bottom w:w="100.0" w:type="dxa"/>
              <w:right w:w="40.0" w:type="dxa"/>
            </w:tcMar>
            <w:vAlign w:val="top"/>
          </w:tcPr>
          <w:p w:rsidR="00000000" w:rsidDel="00000000" w:rsidP="00000000" w:rsidRDefault="00000000" w:rsidRPr="00000000" w14:paraId="000001A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.371</w:t>
            </w:r>
          </w:p>
        </w:tc>
        <w:tc>
          <w:tcPr>
            <w:shd w:fill="auto" w:val="clear"/>
            <w:tcMar>
              <w:top w:w="100.0" w:type="dxa"/>
              <w:left w:w="40.0" w:type="dxa"/>
              <w:bottom w:w="100.0" w:type="dxa"/>
              <w:right w:w="40.0" w:type="dxa"/>
            </w:tcMar>
            <w:vAlign w:val="top"/>
          </w:tcPr>
          <w:p w:rsidR="00000000" w:rsidDel="00000000" w:rsidP="00000000" w:rsidRDefault="00000000" w:rsidRPr="00000000" w14:paraId="000001A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.646</w:t>
            </w:r>
          </w:p>
        </w:tc>
        <w:tc>
          <w:tcPr>
            <w:shd w:fill="auto" w:val="clear"/>
            <w:tcMar>
              <w:top w:w="100.0" w:type="dxa"/>
              <w:left w:w="40.0" w:type="dxa"/>
              <w:bottom w:w="100.0" w:type="dxa"/>
              <w:right w:w="40.0" w:type="dxa"/>
            </w:tcMar>
            <w:vAlign w:val="top"/>
          </w:tcPr>
          <w:p w:rsidR="00000000" w:rsidDel="00000000" w:rsidP="00000000" w:rsidRDefault="00000000" w:rsidRPr="00000000" w14:paraId="000001A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.409</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1B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.766</w:t>
            </w:r>
          </w:p>
        </w:tc>
        <w:tc>
          <w:tcPr>
            <w:shd w:fill="auto" w:val="clear"/>
            <w:tcMar>
              <w:top w:w="100.0" w:type="dxa"/>
              <w:left w:w="40.0" w:type="dxa"/>
              <w:bottom w:w="100.0" w:type="dxa"/>
              <w:right w:w="40.0" w:type="dxa"/>
            </w:tcMar>
            <w:vAlign w:val="top"/>
          </w:tcPr>
          <w:p w:rsidR="00000000" w:rsidDel="00000000" w:rsidP="00000000" w:rsidRDefault="00000000" w:rsidRPr="00000000" w14:paraId="000001B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.476</w:t>
            </w:r>
          </w:p>
        </w:tc>
        <w:tc>
          <w:tcPr>
            <w:shd w:fill="auto" w:val="clear"/>
            <w:tcMar>
              <w:top w:w="100.0" w:type="dxa"/>
              <w:left w:w="40.0" w:type="dxa"/>
              <w:bottom w:w="100.0" w:type="dxa"/>
              <w:right w:w="40.0" w:type="dxa"/>
            </w:tcMar>
            <w:vAlign w:val="top"/>
          </w:tcPr>
          <w:p w:rsidR="00000000" w:rsidDel="00000000" w:rsidP="00000000" w:rsidRDefault="00000000" w:rsidRPr="00000000" w14:paraId="000001B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.847</w:t>
            </w:r>
          </w:p>
        </w:tc>
        <w:tc>
          <w:tcPr>
            <w:shd w:fill="auto" w:val="clear"/>
            <w:tcMar>
              <w:top w:w="100.0" w:type="dxa"/>
              <w:left w:w="40.0" w:type="dxa"/>
              <w:bottom w:w="100.0" w:type="dxa"/>
              <w:right w:w="40.0" w:type="dxa"/>
            </w:tcMar>
            <w:vAlign w:val="top"/>
          </w:tcPr>
          <w:p w:rsidR="00000000" w:rsidDel="00000000" w:rsidP="00000000" w:rsidRDefault="00000000" w:rsidRPr="00000000" w14:paraId="000001B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.593</w:t>
            </w:r>
          </w:p>
        </w:tc>
        <w:tc>
          <w:tcPr>
            <w:shd w:fill="auto" w:val="clear"/>
            <w:tcMar>
              <w:top w:w="100.0" w:type="dxa"/>
              <w:left w:w="40.0" w:type="dxa"/>
              <w:bottom w:w="100.0" w:type="dxa"/>
              <w:right w:w="40.0" w:type="dxa"/>
            </w:tcMar>
            <w:vAlign w:val="top"/>
          </w:tcPr>
          <w:p w:rsidR="00000000" w:rsidDel="00000000" w:rsidP="00000000" w:rsidRDefault="00000000" w:rsidRPr="00000000" w14:paraId="000001B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.803</w:t>
            </w:r>
          </w:p>
        </w:tc>
        <w:tc>
          <w:tcPr>
            <w:shd w:fill="auto" w:val="clear"/>
            <w:tcMar>
              <w:top w:w="100.0" w:type="dxa"/>
              <w:left w:w="40.0" w:type="dxa"/>
              <w:bottom w:w="100.0" w:type="dxa"/>
              <w:right w:w="40.0" w:type="dxa"/>
            </w:tcMar>
            <w:vAlign w:val="top"/>
          </w:tcPr>
          <w:p w:rsidR="00000000" w:rsidDel="00000000" w:rsidP="00000000" w:rsidRDefault="00000000" w:rsidRPr="00000000" w14:paraId="000001B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.594</w:t>
            </w:r>
          </w:p>
        </w:tc>
        <w:tc>
          <w:tcPr>
            <w:shd w:fill="auto" w:val="clear"/>
            <w:tcMar>
              <w:top w:w="100.0" w:type="dxa"/>
              <w:left w:w="40.0" w:type="dxa"/>
              <w:bottom w:w="100.0" w:type="dxa"/>
              <w:right w:w="40.0" w:type="dxa"/>
            </w:tcMar>
            <w:vAlign w:val="top"/>
          </w:tcPr>
          <w:p w:rsidR="00000000" w:rsidDel="00000000" w:rsidP="00000000" w:rsidRDefault="00000000" w:rsidRPr="00000000" w14:paraId="000001B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.752</w:t>
            </w:r>
          </w:p>
        </w:tc>
        <w:tc>
          <w:tcPr>
            <w:shd w:fill="auto" w:val="clear"/>
            <w:tcMar>
              <w:top w:w="100.0" w:type="dxa"/>
              <w:left w:w="40.0" w:type="dxa"/>
              <w:bottom w:w="100.0" w:type="dxa"/>
              <w:right w:w="40.0" w:type="dxa"/>
            </w:tcMar>
            <w:vAlign w:val="top"/>
          </w:tcPr>
          <w:p w:rsidR="00000000" w:rsidDel="00000000" w:rsidP="00000000" w:rsidRDefault="00000000" w:rsidRPr="00000000" w14:paraId="000001B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B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1B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.776</w:t>
            </w:r>
          </w:p>
        </w:tc>
        <w:tc>
          <w:tcPr>
            <w:shd w:fill="auto" w:val="clear"/>
            <w:tcMar>
              <w:top w:w="100.0" w:type="dxa"/>
              <w:left w:w="40.0" w:type="dxa"/>
              <w:bottom w:w="100.0" w:type="dxa"/>
              <w:right w:w="40.0" w:type="dxa"/>
            </w:tcMar>
            <w:vAlign w:val="top"/>
          </w:tcPr>
          <w:p w:rsidR="00000000" w:rsidDel="00000000" w:rsidP="00000000" w:rsidRDefault="00000000" w:rsidRPr="00000000" w14:paraId="000001B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.560</w:t>
            </w:r>
          </w:p>
        </w:tc>
        <w:tc>
          <w:tcPr>
            <w:shd w:fill="auto" w:val="clear"/>
            <w:tcMar>
              <w:top w:w="100.0" w:type="dxa"/>
              <w:left w:w="40.0" w:type="dxa"/>
              <w:bottom w:w="100.0" w:type="dxa"/>
              <w:right w:w="40.0" w:type="dxa"/>
            </w:tcMar>
            <w:vAlign w:val="top"/>
          </w:tcPr>
          <w:p w:rsidR="00000000" w:rsidDel="00000000" w:rsidP="00000000" w:rsidRDefault="00000000" w:rsidRPr="00000000" w14:paraId="000001B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.748</w:t>
            </w:r>
          </w:p>
        </w:tc>
        <w:tc>
          <w:tcPr>
            <w:shd w:fill="auto" w:val="clear"/>
            <w:tcMar>
              <w:top w:w="100.0" w:type="dxa"/>
              <w:left w:w="40.0" w:type="dxa"/>
              <w:bottom w:w="100.0" w:type="dxa"/>
              <w:right w:w="40.0" w:type="dxa"/>
            </w:tcMar>
            <w:vAlign w:val="top"/>
          </w:tcPr>
          <w:p w:rsidR="00000000" w:rsidDel="00000000" w:rsidP="00000000" w:rsidRDefault="00000000" w:rsidRPr="00000000" w14:paraId="000001B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.493</w:t>
            </w:r>
          </w:p>
        </w:tc>
        <w:tc>
          <w:tcPr>
            <w:shd w:fill="auto" w:val="clear"/>
            <w:tcMar>
              <w:top w:w="100.0" w:type="dxa"/>
              <w:left w:w="40.0" w:type="dxa"/>
              <w:bottom w:w="100.0" w:type="dxa"/>
              <w:right w:w="40.0" w:type="dxa"/>
            </w:tcMar>
            <w:vAlign w:val="top"/>
          </w:tcPr>
          <w:p w:rsidR="00000000" w:rsidDel="00000000" w:rsidP="00000000" w:rsidRDefault="00000000" w:rsidRPr="00000000" w14:paraId="000001B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B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.543</w:t>
            </w:r>
          </w:p>
        </w:tc>
        <w:tc>
          <w:tcPr>
            <w:shd w:fill="auto" w:val="clear"/>
            <w:tcMar>
              <w:top w:w="100.0" w:type="dxa"/>
              <w:left w:w="40.0" w:type="dxa"/>
              <w:bottom w:w="100.0" w:type="dxa"/>
              <w:right w:w="40.0" w:type="dxa"/>
            </w:tcMar>
            <w:vAlign w:val="top"/>
          </w:tcPr>
          <w:p w:rsidR="00000000" w:rsidDel="00000000" w:rsidP="00000000" w:rsidRDefault="00000000" w:rsidRPr="00000000" w14:paraId="000001B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.810</w:t>
            </w:r>
          </w:p>
        </w:tc>
        <w:tc>
          <w:tcPr>
            <w:shd w:fill="auto" w:val="clear"/>
            <w:tcMar>
              <w:top w:w="100.0" w:type="dxa"/>
              <w:left w:w="40.0" w:type="dxa"/>
              <w:bottom w:w="100.0" w:type="dxa"/>
              <w:right w:w="40.0" w:type="dxa"/>
            </w:tcMar>
            <w:vAlign w:val="top"/>
          </w:tcPr>
          <w:p w:rsidR="00000000" w:rsidDel="00000000" w:rsidP="00000000" w:rsidRDefault="00000000" w:rsidRPr="00000000" w14:paraId="000001C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rPr>
          <w:rFonts w:ascii="Times New Roman" w:cs="Times New Roman" w:eastAsia="Times New Roman" w:hAnsi="Times New Roman"/>
          <w:i w:val="1"/>
          <w:iCs w:val="1"/>
          <w:sz w:val="20"/>
          <w:szCs w:val="20"/>
          <w:rtl w:val="0"/>
        </w:rP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The cross-generator results show a more nuanced picture than the original A→B comparison (Table 6):</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center"/>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Table 6: Cross-generator results (Claude Sonnet 4 references, 147-subset). Acc=accuracy, lift=A−B difference, McNemar p-value vs. A.</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rPr>
          <w:rFonts w:ascii="Times New Roman" w:cs="Times New Roman" w:eastAsia="Times New Roman" w:hAnsi="Times New Roman"/>
          <w:i w:val="1"/>
          <w:iCs w:val="1"/>
          <w:sz w:val="20"/>
          <w:szCs w:val="20"/>
          <w:rtl w:val="0"/>
        </w:rP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No model shows significant benefit when evaluation criteria are removed (Table 7):</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center"/>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Table 7: No-criteria ablation results. Same format as Table 6. All values on the 147-subset.</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[26]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On the conventional benchmarks for interpreting kappa [27] this falls below even slight agreement.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w:t>
      </w:r>
      <w:r>
        <w:rPr>
          <w:rFonts w:ascii="Times New Roman" w:cs="Times New Roman" w:eastAsia="Times New Roman" w:hAnsi="Times New Roman"/>
          <w:sz w:val="20"/>
          <w:szCs w:val="20"/>
          <w:rtl w:val="0"/>
        </w:rPr>
        <w:t xml:space="preserve"> Failure types are the original single-annotator labels, which a two-annotator study found not to be reproducible (Cohen's kappa 0.000, Section 5.3); the rows are descriptive and are not used to support any claim.</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440"/>
        <w:gridCol w:w="767"/>
        <w:gridCol w:w="440"/>
        <w:gridCol w:w="767"/>
        <w:gridCol w:w="440"/>
        <w:gridCol w:w="766"/>
      </w:tblGrid>
      <w:tr>
        <w:trPr>
          <w:cantSplit w:val="1"/>
          <w:trHeight w:val="400" w:hRule="atLeast"/>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1C7">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8">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Obvious (156)</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Deceptive (287)</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Partial (316)</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CE">
            <w:pPr>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C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.830 (+.065)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.925 (+.085)</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D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B">
            <w:pPr>
              <w:jc w:val="left"/>
              <w:rPr>
                <w:rFonts w:ascii="Times New Roman" w:cs="Times New Roman" w:eastAsia="Times New Roman" w:hAnsi="Times New Roman"/>
                <w:sz w:val="15"/>
                <w:szCs w:val="15"/>
              </w:rPr>
            </w:pPr>
            <w:r>
              <w:rPr>
                <w:rFonts w:ascii="Times New Roman" w:cs="Gungsuh" w:eastAsia="Gungsuh" w:hAnsi="Times New Roman"/>
                <w:sz w:val="15"/>
                <w:szCs w:val="15"/>
                <w:rtl w:val="0"/>
              </w:rPr>
              <w:t xml:space="preserve">.932 (−.003)</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.750 (+.340)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 (+.279)</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.949 (+.168)</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.756 (+.250)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.655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.819 (+.164)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.940 (+.104)</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.812 (+.040)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.868 (+.128)</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.980 (+.089)</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F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.724 (+.013)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 (+.014)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F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 (Table 3 and Figure 4).</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also bears on Condition C: a verifier that leans on surface similarity rather than semantic comparison will be misled by a reference screenshot, which is consistent with GPT-4.1 showing the largest Condition C drop. It does not explain the whole pattern, since GPT-4.1 Mini improves under the same condition, so surface anchoring is at best a partial account.</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 xml:space="preserve">We map verbalized confidence c ∈ {1,...,10} to predicted probability c/10 of the predicted class being correct, the standard treatment for verbal confidence elicitation [18], [19]. Table 4 reports all three measures per model and condition, and Figure 5 shows the corresponding reliability diagrams for Conditions A and B.</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905"/>
        <w:gridCol w:w="905"/>
        <w:gridCol w:w="905"/>
        <w:gridCol w:w="90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20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20B">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D">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E">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 ECE_3 / ECE_15 / Brier</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0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21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.240 / .270</w:t>
            </w:r>
          </w:p>
        </w:tc>
        <w:tc>
          <w:tcPr>
            <w:shd w:fill="auto" w:val="clear"/>
            <w:tcMar>
              <w:top w:w="100.0" w:type="dxa"/>
              <w:left w:w="40.0" w:type="dxa"/>
              <w:bottom w:w="100.0" w:type="dxa"/>
              <w:right w:w="40.0" w:type="dxa"/>
            </w:tcMar>
            <w:vAlign w:val="top"/>
          </w:tcPr>
          <w:p w:rsidR="00000000" w:rsidDel="00000000" w:rsidP="00000000" w:rsidRDefault="00000000" w:rsidRPr="00000000" w14:paraId="0000021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.297 / .288</w:t>
            </w:r>
          </w:p>
        </w:tc>
        <w:tc>
          <w:tcPr>
            <w:shd w:fill="auto" w:val="clear"/>
            <w:tcMar>
              <w:top w:w="100.0" w:type="dxa"/>
              <w:left w:w="40.0" w:type="dxa"/>
              <w:bottom w:w="100.0" w:type="dxa"/>
              <w:right w:w="40.0" w:type="dxa"/>
            </w:tcMar>
            <w:vAlign w:val="top"/>
          </w:tcPr>
          <w:p w:rsidR="00000000" w:rsidDel="00000000" w:rsidP="00000000" w:rsidRDefault="00000000" w:rsidRPr="00000000" w14:paraId="0000021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.280 / .314 / .327</w:t>
            </w:r>
          </w:p>
        </w:tc>
        <w:tc>
          <w:tcPr>
            <w:shd w:fill="auto" w:val="clear"/>
            <w:tcMar>
              <w:top w:w="100.0" w:type="dxa"/>
              <w:left w:w="40.0" w:type="dxa"/>
              <w:bottom w:w="100.0" w:type="dxa"/>
              <w:right w:w="40.0" w:type="dxa"/>
            </w:tcMar>
            <w:vAlign w:val="top"/>
          </w:tcPr>
          <w:p w:rsidR="00000000" w:rsidDel="00000000" w:rsidP="00000000" w:rsidRDefault="00000000" w:rsidRPr="00000000" w14:paraId="0000021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.279 / .306 / .312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21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.301 / .326</w:t>
            </w:r>
          </w:p>
        </w:tc>
        <w:tc>
          <w:tcPr>
            <w:shd w:fill="auto" w:val="clear"/>
            <w:tcMar>
              <w:top w:w="100.0" w:type="dxa"/>
              <w:left w:w="40.0" w:type="dxa"/>
              <w:bottom w:w="100.0" w:type="dxa"/>
              <w:right w:w="40.0" w:type="dxa"/>
            </w:tcMar>
            <w:vAlign w:val="top"/>
          </w:tcPr>
          <w:p w:rsidR="00000000" w:rsidDel="00000000" w:rsidP="00000000" w:rsidRDefault="00000000" w:rsidRPr="00000000" w14:paraId="0000021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.093 / .093 / .139</w:t>
            </w:r>
          </w:p>
        </w:tc>
        <w:tc>
          <w:tcPr>
            <w:shd w:fill="auto" w:val="clear"/>
            <w:tcMar>
              <w:top w:w="100.0" w:type="dxa"/>
              <w:left w:w="40.0" w:type="dxa"/>
              <w:bottom w:w="100.0" w:type="dxa"/>
              <w:right w:w="40.0" w:type="dxa"/>
            </w:tcMar>
            <w:vAlign w:val="top"/>
          </w:tcPr>
          <w:p w:rsidR="00000000" w:rsidDel="00000000" w:rsidP="00000000" w:rsidRDefault="00000000" w:rsidRPr="00000000" w14:paraId="0000021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.173 / .199 / .231</w:t>
            </w:r>
          </w:p>
        </w:tc>
        <w:tc>
          <w:tcPr>
            <w:shd w:fill="auto" w:val="clear"/>
            <w:tcMar>
              <w:top w:w="100.0" w:type="dxa"/>
              <w:left w:w="40.0" w:type="dxa"/>
              <w:bottom w:w="100.0" w:type="dxa"/>
              <w:right w:w="40.0" w:type="dxa"/>
            </w:tcMar>
            <w:vAlign w:val="top"/>
          </w:tcPr>
          <w:p w:rsidR="00000000" w:rsidDel="00000000" w:rsidP="00000000" w:rsidRDefault="00000000" w:rsidRPr="00000000" w14:paraId="0000021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.146 / .160 / .206</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21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.262 / .292</w:t>
            </w:r>
          </w:p>
        </w:tc>
        <w:tc>
          <w:tcPr>
            <w:shd w:fill="auto" w:val="clear"/>
            <w:tcMar>
              <w:top w:w="100.0" w:type="dxa"/>
              <w:left w:w="40.0" w:type="dxa"/>
              <w:bottom w:w="100.0" w:type="dxa"/>
              <w:right w:w="40.0" w:type="dxa"/>
            </w:tcMar>
            <w:vAlign w:val="top"/>
          </w:tcPr>
          <w:p w:rsidR="00000000" w:rsidDel="00000000" w:rsidP="00000000" w:rsidRDefault="00000000" w:rsidRPr="00000000" w14:paraId="0000021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 / .161 / .175</w:t>
            </w:r>
          </w:p>
        </w:tc>
        <w:tc>
          <w:tcPr>
            <w:shd w:fill="auto" w:val="clear"/>
            <w:tcMar>
              <w:top w:w="100.0" w:type="dxa"/>
              <w:left w:w="40.0" w:type="dxa"/>
              <w:bottom w:w="100.0" w:type="dxa"/>
              <w:right w:w="40.0" w:type="dxa"/>
            </w:tcMar>
            <w:vAlign w:val="top"/>
          </w:tcPr>
          <w:p w:rsidR="00000000" w:rsidDel="00000000" w:rsidP="00000000" w:rsidRDefault="00000000" w:rsidRPr="00000000" w14:paraId="0000021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 / .413 / .414</w:t>
            </w:r>
          </w:p>
        </w:tc>
        <w:tc>
          <w:tcPr>
            <w:shd w:fill="auto" w:val="clear"/>
            <w:tcMar>
              <w:top w:w="100.0" w:type="dxa"/>
              <w:left w:w="40.0" w:type="dxa"/>
              <w:bottom w:w="100.0" w:type="dxa"/>
              <w:right w:w="40.0" w:type="dxa"/>
            </w:tcMar>
            <w:vAlign w:val="top"/>
          </w:tcPr>
          <w:p w:rsidR="00000000" w:rsidDel="00000000" w:rsidP="00000000" w:rsidRDefault="00000000" w:rsidRPr="00000000" w14:paraId="0000021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 .340 / .353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21F">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.015 / .030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0">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.036 / .046 / .106</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1">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.033 / .099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2">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.068 / .118 / .171</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2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22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.184 / .178 / .204</w:t>
            </w:r>
          </w:p>
        </w:tc>
        <w:tc>
          <w:tcPr>
            <w:shd w:fill="auto" w:val="clear"/>
            <w:tcMar>
              <w:top w:w="100.0" w:type="dxa"/>
              <w:left w:w="40.0" w:type="dxa"/>
              <w:bottom w:w="100.0" w:type="dxa"/>
              <w:right w:w="40.0" w:type="dxa"/>
            </w:tcMar>
            <w:vAlign w:val="top"/>
          </w:tcPr>
          <w:p w:rsidR="00000000" w:rsidDel="00000000" w:rsidP="00000000" w:rsidRDefault="00000000" w:rsidRPr="00000000" w14:paraId="0000022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.188 / .184 / .203</w:t>
            </w:r>
          </w:p>
        </w:tc>
        <w:tc>
          <w:tcPr>
            <w:shd w:fill="auto" w:val="clear"/>
            <w:tcMar>
              <w:top w:w="100.0" w:type="dxa"/>
              <w:left w:w="40.0" w:type="dxa"/>
              <w:bottom w:w="100.0" w:type="dxa"/>
              <w:right w:w="40.0" w:type="dxa"/>
            </w:tcMar>
            <w:vAlign w:val="top"/>
          </w:tcPr>
          <w:p w:rsidR="00000000" w:rsidDel="00000000" w:rsidP="00000000" w:rsidRDefault="00000000" w:rsidRPr="00000000" w14:paraId="0000022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.197 / .183 / .207</w:t>
            </w:r>
          </w:p>
        </w:tc>
        <w:tc>
          <w:tcPr>
            <w:shd w:fill="auto" w:val="clear"/>
            <w:tcMar>
              <w:top w:w="100.0" w:type="dxa"/>
              <w:left w:w="40.0" w:type="dxa"/>
              <w:bottom w:w="100.0" w:type="dxa"/>
              <w:right w:w="40.0" w:type="dxa"/>
            </w:tcMar>
            <w:vAlign w:val="top"/>
          </w:tcPr>
          <w:p w:rsidR="00000000" w:rsidDel="00000000" w:rsidP="00000000" w:rsidRDefault="00000000" w:rsidRPr="00000000" w14:paraId="0000022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pPr>
        <w:jc w:val="center"/>
      </w:pP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Times New Roman" w:cs="Gungsuh" w:eastAsia="Gungsuh" w:hAnsi="Times New Roman"/>
          <w:sz w:val="20"/>
          <w:szCs w:val="20"/>
          <w:rtl w:val="0"/>
        </w:rPr>
        <w:t xml:space="preserve">GPT-4.1 Mini and GPT-4.1 assign confidence ≥ 7 to virtually all predictions (&gt;99%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Text references improve GPT calibration (A→B: ECE_15bin drops for GPT-4.1 Mini from 0.301 to 0.093 and for GPT-4.1 from 0.262 to 0.161), while visual references worsen it for GPT-4.1 (A→C: ECE_15bin rises to 0.413). GPT-4.1 Mini is the counterexample here too, improving to 0.199 under Condition C, so the calibration picture mirrors the accuracy picture rather than splitting cleanly along model families.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$0.75, GPT-4.1 Mini $2.15, GPT-4.1 $7.51, Claude Sonnet 4 $21.75, Gemini 3.6 Flash $2.88. Per-call cost ranges from $0.00029 (GPT-4.1 Nano) to $0.0100 (Claude Sonnet 4). Mean per-call latency in Condition B ranges from 3.2 s (GPT-4.1 Mini) to 8.3 s (Gemini 3.6 Flash). Adding a text reference (A→B) increases per-call cost by less than 10% on average and per-call latency negligibly, supporting the practical recommendation in Section 6: text references are a near-zero-cost upgrade. Table 9 summarises cost and latency per model.</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center"/>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center"/>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Table 9: Measured cost and latency. Total $ is the cost of all four conditions for that model; the per-call and latency columns are Condition B, the recommended configuration. Cost uses the provider list prices recorded in config.py at the time of the runs; latency is wall-clock per API call and so includes provider queueing. Per-condition figures for all twenty runs are in results/revision_cost_latency.csv.</w:t>
      </w:r>
    </w:p>
    <w:tbl>
      <w:tblPr>
        <w:tblStyle w:val="Table5"/>
        <w:tblW w:w="3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560"/>
        <w:gridCol w:w="700"/>
        <w:gridCol w:w="640"/>
        <w:gridCol w:w="600"/>
      </w:tblGrid>
      <w:tr>
        <w:trPr>
          <w:cantSplit w:val="1"/>
          <w:tblHeader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Total $</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$/call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Mean s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p95 s (B)</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0.00029</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0.00086</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4.2</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0.00353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14.7</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0.01002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11.1</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2.88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0.00127</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24.4</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[28].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Times New Roman" w:cs="Gungsuh" w:eastAsia="Gungsuh" w:hAnsi="Times New Roman"/>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with evaluation criteria.</w:t>
      </w:r>
      <w:r>
        <w:rPr>
          <w:rFonts w:ascii="Times New Roman" w:cs="Times New Roman" w:eastAsia="Times New Roman" w:hAnsi="Times New Roman"/>
          <w:sz w:val="20"/>
          <w:szCs w:val="20"/>
          <w:rtl w:val="0"/>
        </w:rPr>
        <w:t xml:space="preserve">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they harm GPT-4.1 and GPT-4.1 Nano, help GPT-4.1 Mini and Claude Sonnet 4, and leave Gemini essentially unchanged.</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w:t>
      </w:r>
      <w:r>
        <w:rPr>
          <w:rFonts w:ascii="Times New Roman" w:cs="Times New Roman" w:eastAsia="Times New Roman" w:hAnsi="Times New Roman"/>
          <w:sz w:val="20"/>
          <w:szCs w:val="20"/>
          <w:rtl w:val="0"/>
        </w:rPr>
        <w:t xml:space="preserve">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[18], [19] that should be interpreted only after the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 6 condition pairs) at family-wise α=0.05; 6 of 30 tests are significant under both corrections (Appendix I, results/revision_bonferroni.csv).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verification for web agents. Across 909 VisualWebArena trajectories, four reference conditions, and five frontier closed-API models from three families, three findings hold in this setting: text references improve verification substantially for four of the five verifiers and negligibly for the fifth; visual references are model-dependent on the 147-instance subset, degrading two verifiers, improving two, and leaving one unchanged; and adding a reference screenshot on top of a text reference helps only one model.</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2E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2E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2E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2E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2E8">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2E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60.0" w:type="dxa"/>
              <w:bottom w:w="100.0" w:type="dxa"/>
              <w:right w:w="60.0" w:type="dxa"/>
            </w:tcMar>
            <w:vAlign w:val="top"/>
          </w:tcPr>
          <w:p w:rsidR="00000000" w:rsidDel="00000000" w:rsidP="00000000" w:rsidRDefault="00000000" w:rsidRPr="00000000" w14:paraId="000002E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2E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60.0" w:type="dxa"/>
              <w:bottom w:w="100.0" w:type="dxa"/>
              <w:right w:w="60.0" w:type="dxa"/>
            </w:tcMar>
            <w:vAlign w:val="top"/>
          </w:tcPr>
          <w:p w:rsidR="00000000" w:rsidDel="00000000" w:rsidP="00000000" w:rsidRDefault="00000000" w:rsidRPr="00000000" w14:paraId="000002E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2E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60.0" w:type="dxa"/>
              <w:bottom w:w="100.0" w:type="dxa"/>
              <w:right w:w="60.0" w:type="dxa"/>
            </w:tcMar>
            <w:vAlign w:val="top"/>
          </w:tcPr>
          <w:p w:rsidR="00000000" w:rsidDel="00000000" w:rsidP="00000000" w:rsidRDefault="00000000" w:rsidRPr="00000000" w14:paraId="000002F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60.0" w:type="dxa"/>
              <w:bottom w:w="100.0" w:type="dxa"/>
              <w:right w:w="60.0" w:type="dxa"/>
            </w:tcMar>
            <w:vAlign w:val="top"/>
          </w:tcPr>
          <w:p w:rsidR="00000000" w:rsidDel="00000000" w:rsidP="00000000" w:rsidRDefault="00000000" w:rsidRPr="00000000" w14:paraId="000002F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60.0" w:type="dxa"/>
              <w:bottom w:w="100.0" w:type="dxa"/>
              <w:right w:w="60.0" w:type="dxa"/>
            </w:tcMar>
            <w:vAlign w:val="top"/>
          </w:tcPr>
          <w:p w:rsidR="00000000" w:rsidDel="00000000" w:rsidP="00000000" w:rsidRDefault="00000000" w:rsidRPr="00000000" w14:paraId="000002F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2F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60.0" w:type="dxa"/>
              <w:bottom w:w="100.0" w:type="dxa"/>
              <w:right w:w="60.0" w:type="dxa"/>
            </w:tcMar>
            <w:vAlign w:val="top"/>
          </w:tcPr>
          <w:p w:rsidR="00000000" w:rsidDel="00000000" w:rsidP="00000000" w:rsidRDefault="00000000" w:rsidRPr="00000000" w14:paraId="000002F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60.0" w:type="dxa"/>
              <w:bottom w:w="100.0" w:type="dxa"/>
              <w:right w:w="60.0" w:type="dxa"/>
            </w:tcMar>
            <w:vAlign w:val="top"/>
          </w:tcPr>
          <w:p w:rsidR="00000000" w:rsidDel="00000000" w:rsidP="00000000" w:rsidRDefault="00000000" w:rsidRPr="00000000" w14:paraId="000002F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60.0" w:type="dxa"/>
              <w:bottom w:w="100.0" w:type="dxa"/>
              <w:right w:w="60.0" w:type="dxa"/>
            </w:tcMar>
            <w:vAlign w:val="top"/>
          </w:tcPr>
          <w:p w:rsidR="00000000" w:rsidDel="00000000" w:rsidP="00000000" w:rsidRDefault="00000000" w:rsidRPr="00000000" w14:paraId="000002F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2F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2F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60.0" w:type="dxa"/>
              <w:bottom w:w="100.0" w:type="dxa"/>
              <w:right w:w="60.0" w:type="dxa"/>
            </w:tcMar>
            <w:vAlign w:val="top"/>
          </w:tcPr>
          <w:p w:rsidR="00000000" w:rsidDel="00000000" w:rsidP="00000000" w:rsidRDefault="00000000" w:rsidRPr="00000000" w14:paraId="000002F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60.0" w:type="dxa"/>
              <w:bottom w:w="100.0" w:type="dxa"/>
              <w:right w:w="60.0" w:type="dxa"/>
            </w:tcMar>
            <w:vAlign w:val="top"/>
          </w:tcPr>
          <w:p w:rsidR="00000000" w:rsidDel="00000000" w:rsidP="00000000" w:rsidRDefault="00000000" w:rsidRPr="00000000" w14:paraId="000002F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2F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2F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60.0" w:type="dxa"/>
              <w:bottom w:w="100.0" w:type="dxa"/>
              <w:right w:w="60.0" w:type="dxa"/>
            </w:tcMar>
            <w:vAlign w:val="top"/>
          </w:tcPr>
          <w:p w:rsidR="00000000" w:rsidDel="00000000" w:rsidP="00000000" w:rsidRDefault="00000000" w:rsidRPr="00000000" w14:paraId="0000030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60.0" w:type="dxa"/>
              <w:bottom w:w="100.0" w:type="dxa"/>
              <w:right w:w="60.0" w:type="dxa"/>
            </w:tcMar>
            <w:vAlign w:val="top"/>
          </w:tcPr>
          <w:p w:rsidR="00000000" w:rsidDel="00000000" w:rsidP="00000000" w:rsidRDefault="00000000" w:rsidRPr="00000000" w14:paraId="0000030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0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0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0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0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0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0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60.0" w:type="dxa"/>
              <w:bottom w:w="100.0" w:type="dxa"/>
              <w:right w:w="60.0" w:type="dxa"/>
            </w:tcMar>
            <w:vAlign w:val="top"/>
          </w:tcPr>
          <w:p w:rsidR="00000000" w:rsidDel="00000000" w:rsidP="00000000" w:rsidRDefault="00000000" w:rsidRPr="00000000" w14:paraId="0000030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0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60.0" w:type="dxa"/>
              <w:bottom w:w="100.0" w:type="dxa"/>
              <w:right w:w="60.0" w:type="dxa"/>
            </w:tcMar>
            <w:vAlign w:val="top"/>
          </w:tcPr>
          <w:p w:rsidR="00000000" w:rsidDel="00000000" w:rsidP="00000000" w:rsidRDefault="00000000" w:rsidRPr="00000000" w14:paraId="0000030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0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0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31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60.0" w:type="dxa"/>
              <w:bottom w:w="100.0" w:type="dxa"/>
              <w:right w:w="60.0" w:type="dxa"/>
            </w:tcMar>
            <w:vAlign w:val="top"/>
          </w:tcPr>
          <w:p w:rsidR="00000000" w:rsidDel="00000000" w:rsidP="00000000" w:rsidRDefault="00000000" w:rsidRPr="00000000" w14:paraId="0000031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1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1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1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60.0" w:type="dxa"/>
              <w:bottom w:w="100.0" w:type="dxa"/>
              <w:right w:w="60.0" w:type="dxa"/>
            </w:tcMar>
            <w:vAlign w:val="top"/>
          </w:tcPr>
          <w:p w:rsidR="00000000" w:rsidDel="00000000" w:rsidP="00000000" w:rsidRDefault="00000000" w:rsidRPr="00000000" w14:paraId="0000031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1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1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60.0" w:type="dxa"/>
              <w:bottom w:w="100.0" w:type="dxa"/>
              <w:right w:w="60.0" w:type="dxa"/>
            </w:tcMar>
            <w:vAlign w:val="top"/>
          </w:tcPr>
          <w:p w:rsidR="00000000" w:rsidDel="00000000" w:rsidP="00000000" w:rsidRDefault="00000000" w:rsidRPr="00000000" w14:paraId="0000031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60.0" w:type="dxa"/>
              <w:bottom w:w="100.0" w:type="dxa"/>
              <w:right w:w="60.0" w:type="dxa"/>
            </w:tcMar>
            <w:vAlign w:val="top"/>
          </w:tcPr>
          <w:p w:rsidR="00000000" w:rsidDel="00000000" w:rsidP="00000000" w:rsidRDefault="00000000" w:rsidRPr="00000000" w14:paraId="0000031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1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31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60.0" w:type="dxa"/>
              <w:bottom w:w="100.0" w:type="dxa"/>
              <w:right w:w="60.0" w:type="dxa"/>
            </w:tcMar>
            <w:vAlign w:val="top"/>
          </w:tcPr>
          <w:p w:rsidR="00000000" w:rsidDel="00000000" w:rsidP="00000000" w:rsidRDefault="00000000" w:rsidRPr="00000000" w14:paraId="0000031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60.0" w:type="dxa"/>
              <w:bottom w:w="100.0" w:type="dxa"/>
              <w:right w:w="60.0" w:type="dxa"/>
            </w:tcMar>
            <w:vAlign w:val="top"/>
          </w:tcPr>
          <w:p w:rsidR="00000000" w:rsidDel="00000000" w:rsidP="00000000" w:rsidRDefault="00000000" w:rsidRPr="00000000" w14:paraId="0000032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2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2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2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2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2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2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2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60.0" w:type="dxa"/>
              <w:bottom w:w="100.0" w:type="dxa"/>
              <w:right w:w="60.0" w:type="dxa"/>
            </w:tcMar>
            <w:vAlign w:val="top"/>
          </w:tcPr>
          <w:p w:rsidR="00000000" w:rsidDel="00000000" w:rsidP="00000000" w:rsidRDefault="00000000" w:rsidRPr="00000000" w14:paraId="0000032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60.0" w:type="dxa"/>
              <w:bottom w:w="100.0" w:type="dxa"/>
              <w:right w:w="60.0" w:type="dxa"/>
            </w:tcMar>
            <w:vAlign w:val="top"/>
          </w:tcPr>
          <w:p w:rsidR="00000000" w:rsidDel="00000000" w:rsidP="00000000" w:rsidRDefault="00000000" w:rsidRPr="00000000" w14:paraId="0000032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2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60.0" w:type="dxa"/>
              <w:bottom w:w="100.0" w:type="dxa"/>
              <w:right w:w="60.0" w:type="dxa"/>
            </w:tcMar>
            <w:vAlign w:val="top"/>
          </w:tcPr>
          <w:p w:rsidR="00000000" w:rsidDel="00000000" w:rsidP="00000000" w:rsidRDefault="00000000" w:rsidRPr="00000000" w14:paraId="0000032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2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60.0" w:type="dxa"/>
              <w:bottom w:w="100.0" w:type="dxa"/>
              <w:right w:w="60.0" w:type="dxa"/>
            </w:tcMar>
            <w:vAlign w:val="top"/>
          </w:tcPr>
          <w:p w:rsidR="00000000" w:rsidDel="00000000" w:rsidP="00000000" w:rsidRDefault="00000000" w:rsidRPr="00000000" w14:paraId="0000033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3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3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60.0" w:type="dxa"/>
              <w:bottom w:w="100.0" w:type="dxa"/>
              <w:right w:w="60.0" w:type="dxa"/>
            </w:tcMar>
            <w:vAlign w:val="top"/>
          </w:tcPr>
          <w:p w:rsidR="00000000" w:rsidDel="00000000" w:rsidP="00000000" w:rsidRDefault="00000000" w:rsidRPr="00000000" w14:paraId="0000033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3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3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60.0" w:type="dxa"/>
              <w:bottom w:w="100.0" w:type="dxa"/>
              <w:right w:w="60.0" w:type="dxa"/>
            </w:tcMar>
            <w:vAlign w:val="top"/>
          </w:tcPr>
          <w:p w:rsidR="00000000" w:rsidDel="00000000" w:rsidP="00000000" w:rsidRDefault="00000000" w:rsidRPr="00000000" w14:paraId="0000033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33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3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60.0" w:type="dxa"/>
              <w:bottom w:w="100.0" w:type="dxa"/>
              <w:right w:w="60.0" w:type="dxa"/>
            </w:tcMar>
            <w:vAlign w:val="top"/>
          </w:tcPr>
          <w:p w:rsidR="00000000" w:rsidDel="00000000" w:rsidP="00000000" w:rsidRDefault="00000000" w:rsidRPr="00000000" w14:paraId="0000033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3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40"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4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4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4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4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4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4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60.0" w:type="dxa"/>
              <w:bottom w:w="100.0" w:type="dxa"/>
              <w:right w:w="60.0" w:type="dxa"/>
            </w:tcMar>
            <w:vAlign w:val="top"/>
          </w:tcPr>
          <w:p w:rsidR="00000000" w:rsidDel="00000000" w:rsidP="00000000" w:rsidRDefault="00000000" w:rsidRPr="00000000" w14:paraId="0000034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4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60.0" w:type="dxa"/>
              <w:bottom w:w="100.0" w:type="dxa"/>
              <w:right w:w="60.0" w:type="dxa"/>
            </w:tcMar>
            <w:vAlign w:val="top"/>
          </w:tcPr>
          <w:p w:rsidR="00000000" w:rsidDel="00000000" w:rsidP="00000000" w:rsidRDefault="00000000" w:rsidRPr="00000000" w14:paraId="0000034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4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60.0" w:type="dxa"/>
              <w:bottom w:w="100.0" w:type="dxa"/>
              <w:right w:w="60.0" w:type="dxa"/>
            </w:tcMar>
            <w:vAlign w:val="top"/>
          </w:tcPr>
          <w:p w:rsidR="00000000" w:rsidDel="00000000" w:rsidP="00000000" w:rsidRDefault="00000000" w:rsidRPr="00000000" w14:paraId="0000034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60.0" w:type="dxa"/>
              <w:bottom w:w="100.0" w:type="dxa"/>
              <w:right w:w="60.0" w:type="dxa"/>
            </w:tcMar>
            <w:vAlign w:val="top"/>
          </w:tcPr>
          <w:p w:rsidR="00000000" w:rsidDel="00000000" w:rsidP="00000000" w:rsidRDefault="00000000" w:rsidRPr="00000000" w14:paraId="0000035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60.0" w:type="dxa"/>
              <w:bottom w:w="100.0" w:type="dxa"/>
              <w:right w:w="60.0" w:type="dxa"/>
            </w:tcMar>
            <w:vAlign w:val="top"/>
          </w:tcPr>
          <w:p w:rsidR="00000000" w:rsidDel="00000000" w:rsidP="00000000" w:rsidRDefault="00000000" w:rsidRPr="00000000" w14:paraId="0000035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5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5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60.0" w:type="dxa"/>
              <w:bottom w:w="100.0" w:type="dxa"/>
              <w:right w:w="60.0" w:type="dxa"/>
            </w:tcMar>
            <w:vAlign w:val="top"/>
          </w:tcPr>
          <w:p w:rsidR="00000000" w:rsidDel="00000000" w:rsidP="00000000" w:rsidRDefault="00000000" w:rsidRPr="00000000" w14:paraId="0000035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60.0" w:type="dxa"/>
              <w:bottom w:w="100.0" w:type="dxa"/>
              <w:right w:w="60.0" w:type="dxa"/>
            </w:tcMar>
            <w:vAlign w:val="top"/>
          </w:tcPr>
          <w:p w:rsidR="00000000" w:rsidDel="00000000" w:rsidP="00000000" w:rsidRDefault="00000000" w:rsidRPr="00000000" w14:paraId="0000035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60.0" w:type="dxa"/>
              <w:bottom w:w="100.0" w:type="dxa"/>
              <w:right w:w="60.0" w:type="dxa"/>
            </w:tcMar>
            <w:vAlign w:val="top"/>
          </w:tcPr>
          <w:p w:rsidR="00000000" w:rsidDel="00000000" w:rsidP="00000000" w:rsidRDefault="00000000" w:rsidRPr="00000000" w14:paraId="000003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60.0" w:type="dxa"/>
              <w:bottom w:w="100.0" w:type="dxa"/>
              <w:right w:w="60.0" w:type="dxa"/>
            </w:tcMar>
            <w:vAlign w:val="top"/>
          </w:tcPr>
          <w:p w:rsidR="00000000" w:rsidDel="00000000" w:rsidP="00000000" w:rsidRDefault="00000000" w:rsidRPr="00000000" w14:paraId="000003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60.0" w:type="dxa"/>
              <w:bottom w:w="100.0" w:type="dxa"/>
              <w:right w:w="60.0" w:type="dxa"/>
            </w:tcMar>
            <w:vAlign w:val="top"/>
          </w:tcPr>
          <w:p w:rsidR="00000000" w:rsidDel="00000000" w:rsidP="00000000" w:rsidRDefault="00000000" w:rsidRPr="00000000" w14:paraId="000003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0"/>
        <w:gridCol w:w="1000"/>
        <w:gridCol w:w="1120"/>
        <w:gridCol w:w="96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64">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65">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366">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367">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Reddit</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6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.805 (371/461)</w:t>
            </w:r>
          </w:p>
        </w:tc>
        <w:tc>
          <w:tcPr>
            <w:shd w:fill="auto" w:val="clear"/>
            <w:tcMar>
              <w:top w:w="100.0" w:type="dxa"/>
              <w:left w:w="60.0" w:type="dxa"/>
              <w:bottom w:w="100.0" w:type="dxa"/>
              <w:right w:w="60.0" w:type="dxa"/>
            </w:tcMar>
            <w:vAlign w:val="top"/>
          </w:tcPr>
          <w:p w:rsidR="00000000" w:rsidDel="00000000" w:rsidP="00000000" w:rsidRDefault="00000000" w:rsidRPr="00000000" w14:paraId="0000036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.904 (208/230)</w:t>
            </w:r>
          </w:p>
        </w:tc>
        <w:tc>
          <w:tcPr>
            <w:shd w:fill="auto" w:val="clear"/>
            <w:tcMar>
              <w:top w:w="100.0" w:type="dxa"/>
              <w:left w:w="60.0" w:type="dxa"/>
              <w:bottom w:w="100.0" w:type="dxa"/>
              <w:right w:w="60.0" w:type="dxa"/>
            </w:tcMar>
            <w:vAlign w:val="top"/>
          </w:tcPr>
          <w:p w:rsidR="00000000" w:rsidDel="00000000" w:rsidP="00000000" w:rsidRDefault="00000000" w:rsidRPr="00000000" w14:paraId="0000036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.832 (173/208)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C">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6D">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.826 (385/466)</w:t>
            </w:r>
          </w:p>
        </w:tc>
        <w:tc>
          <w:tcPr>
            <w:shd w:fill="auto" w:val="clear"/>
            <w:tcMar>
              <w:top w:w="100.0" w:type="dxa"/>
              <w:left w:w="60.0" w:type="dxa"/>
              <w:bottom w:w="100.0" w:type="dxa"/>
              <w:right w:w="60.0" w:type="dxa"/>
            </w:tcMar>
            <w:vAlign w:val="top"/>
          </w:tcPr>
          <w:p w:rsidR="00000000" w:rsidDel="00000000" w:rsidP="00000000" w:rsidRDefault="00000000" w:rsidRPr="00000000" w14:paraId="0000036E">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.828 (192/232)</w:t>
            </w:r>
          </w:p>
        </w:tc>
        <w:tc>
          <w:tcPr>
            <w:shd w:fill="auto" w:val="clear"/>
            <w:tcMar>
              <w:top w:w="100.0" w:type="dxa"/>
              <w:left w:w="60.0" w:type="dxa"/>
              <w:bottom w:w="100.0" w:type="dxa"/>
              <w:right w:w="60.0" w:type="dxa"/>
            </w:tcMar>
            <w:vAlign w:val="top"/>
          </w:tcPr>
          <w:p w:rsidR="00000000" w:rsidDel="00000000" w:rsidP="00000000" w:rsidRDefault="00000000" w:rsidRPr="00000000" w14:paraId="0000036F">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.900 (189/210)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0">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71">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.815 (380/466)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2">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.790 (184/233)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3">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.867 (182/210)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4">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75">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.863 (397/460)</w:t>
            </w:r>
          </w:p>
        </w:tc>
        <w:tc>
          <w:tcPr>
            <w:shd w:fill="auto" w:val="clear"/>
            <w:tcMar>
              <w:top w:w="100.0" w:type="dxa"/>
              <w:left w:w="60.0" w:type="dxa"/>
              <w:bottom w:w="100.0" w:type="dxa"/>
              <w:right w:w="60.0" w:type="dxa"/>
            </w:tcMar>
            <w:vAlign w:val="top"/>
          </w:tcPr>
          <w:p w:rsidR="00000000" w:rsidDel="00000000" w:rsidP="00000000" w:rsidRDefault="00000000" w:rsidRPr="00000000" w14:paraId="00000376">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.813 (187/230)</w:t>
            </w:r>
          </w:p>
        </w:tc>
        <w:tc>
          <w:tcPr>
            <w:shd w:fill="auto" w:val="clear"/>
            <w:tcMar>
              <w:top w:w="100.0" w:type="dxa"/>
              <w:left w:w="60.0" w:type="dxa"/>
              <w:bottom w:w="100.0" w:type="dxa"/>
              <w:right w:w="60.0" w:type="dxa"/>
            </w:tcMar>
            <w:vAlign w:val="top"/>
          </w:tcPr>
          <w:p w:rsidR="00000000" w:rsidDel="00000000" w:rsidP="00000000" w:rsidRDefault="00000000" w:rsidRPr="00000000" w14:paraId="00000377">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 (192/205)</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7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 (358/466)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.751 (175/233)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620"/>
        <w:gridCol w:w="900"/>
        <w:gridCol w:w="900"/>
        <w:gridCol w:w="1120"/>
      </w:tblGrid>
      <w:tr>
        <w:trPr>
          <w:cantSplit w:val="1"/>
          <w:tblHeader w:val="1"/>
        </w:trPr>
        <w:tc>
          <w:tcPr>
            <w:shd w:fill="auto" w:val="clear"/>
            <w:tcMar>
              <w:top w:w="100.0" w:type="dxa"/>
              <w:left w:w="50.0" w:type="dxa"/>
              <w:bottom w:w="100.0" w:type="dxa"/>
              <w:right w:w="50.0" w:type="dxa"/>
            </w:tcMar>
            <w:vAlign w:val="top"/>
          </w:tcPr>
          <w:p w:rsidR="00000000" w:rsidDel="00000000" w:rsidP="00000000" w:rsidRDefault="00000000" w:rsidRPr="00000000" w14:paraId="00000381">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Condition</w:t>
            </w:r>
          </w:p>
        </w:tc>
        <w:tc>
          <w:tcPr>
            <w:shd w:fill="auto" w:val="clear"/>
            <w:tcMar>
              <w:top w:w="100.0" w:type="dxa"/>
              <w:left w:w="50.0" w:type="dxa"/>
              <w:bottom w:w="100.0" w:type="dxa"/>
              <w:right w:w="50.0" w:type="dxa"/>
            </w:tcMar>
            <w:vAlign w:val="top"/>
          </w:tcPr>
          <w:p w:rsidR="00000000" w:rsidDel="00000000" w:rsidP="00000000" w:rsidRDefault="00000000" w:rsidRPr="00000000" w14:paraId="00000382">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Errors</w:t>
            </w:r>
          </w:p>
        </w:tc>
        <w:tc>
          <w:tcPr>
            <w:shd w:fill="auto" w:val="clear"/>
            <w:tcMar>
              <w:top w:w="100.0" w:type="dxa"/>
              <w:left w:w="50.0" w:type="dxa"/>
              <w:bottom w:w="100.0" w:type="dxa"/>
              <w:right w:w="50.0" w:type="dxa"/>
            </w:tcMar>
            <w:vAlign w:val="top"/>
          </w:tcPr>
          <w:p w:rsidR="00000000" w:rsidDel="00000000" w:rsidP="00000000" w:rsidRDefault="00000000" w:rsidRPr="00000000" w14:paraId="00000383">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GT SUCCESS in errors</w:t>
            </w:r>
          </w:p>
        </w:tc>
        <w:tc>
          <w:tcPr>
            <w:shd w:fill="auto" w:val="clear"/>
            <w:tcMar>
              <w:top w:w="100.0" w:type="dxa"/>
              <w:left w:w="50.0" w:type="dxa"/>
              <w:bottom w:w="100.0" w:type="dxa"/>
              <w:right w:w="50.0" w:type="dxa"/>
            </w:tcMar>
            <w:vAlign w:val="top"/>
          </w:tcPr>
          <w:p w:rsidR="00000000" w:rsidDel="00000000" w:rsidP="00000000" w:rsidRDefault="00000000" w:rsidRPr="00000000" w14:paraId="00000384">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GT SUCCESS in valid</w:t>
            </w:r>
          </w:p>
        </w:tc>
        <w:tc>
          <w:tcPr>
            <w:shd w:fill="auto" w:val="clear"/>
            <w:tcMar>
              <w:top w:w="100.0" w:type="dxa"/>
              <w:left w:w="50.0" w:type="dxa"/>
              <w:bottom w:w="100.0" w:type="dxa"/>
              <w:right w:w="50.0" w:type="dxa"/>
            </w:tcMar>
            <w:vAlign w:val="top"/>
          </w:tcPr>
          <w:p w:rsidR="00000000" w:rsidDel="00000000" w:rsidP="00000000" w:rsidRDefault="00000000" w:rsidRPr="00000000" w14:paraId="00000385">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8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50.0" w:type="dxa"/>
              <w:bottom w:w="100.0" w:type="dxa"/>
              <w:right w:w="50.0" w:type="dxa"/>
            </w:tcMar>
            <w:vAlign w:val="top"/>
          </w:tcPr>
          <w:p w:rsidR="00000000" w:rsidDel="00000000" w:rsidP="00000000" w:rsidRDefault="00000000" w:rsidRPr="00000000" w14:paraId="0000038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w:t>
            </w:r>
          </w:p>
        </w:tc>
        <w:tc>
          <w:tcPr>
            <w:shd w:fill="auto" w:val="clear"/>
            <w:tcMar>
              <w:top w:w="100.0" w:type="dxa"/>
              <w:left w:w="50.0" w:type="dxa"/>
              <w:bottom w:w="100.0" w:type="dxa"/>
              <w:right w:w="50.0" w:type="dxa"/>
            </w:tcMar>
            <w:vAlign w:val="top"/>
          </w:tcPr>
          <w:p w:rsidR="00000000" w:rsidDel="00000000" w:rsidP="00000000" w:rsidRDefault="00000000" w:rsidRPr="00000000" w14:paraId="0000038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8.8%</w:t>
            </w:r>
          </w:p>
        </w:tc>
        <w:tc>
          <w:tcPr>
            <w:shd w:fill="auto" w:val="clear"/>
            <w:tcMar>
              <w:top w:w="100.0" w:type="dxa"/>
              <w:left w:w="50.0" w:type="dxa"/>
              <w:bottom w:w="100.0" w:type="dxa"/>
              <w:right w:w="50.0" w:type="dxa"/>
            </w:tcMar>
            <w:vAlign w:val="top"/>
          </w:tcPr>
          <w:p w:rsidR="00000000" w:rsidDel="00000000" w:rsidP="00000000" w:rsidRDefault="00000000" w:rsidRPr="00000000" w14:paraId="0000038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16.8%</w:t>
            </w:r>
          </w:p>
        </w:tc>
        <w:tc>
          <w:tcPr>
            <w:shd w:fill="auto" w:val="clear"/>
            <w:tcMar>
              <w:top w:w="100.0" w:type="dxa"/>
              <w:left w:w="50.0" w:type="dxa"/>
              <w:bottom w:w="100.0" w:type="dxa"/>
              <w:right w:w="50.0" w:type="dxa"/>
            </w:tcMar>
            <w:vAlign w:val="top"/>
          </w:tcPr>
          <w:p w:rsidR="00000000" w:rsidDel="00000000" w:rsidP="00000000" w:rsidRDefault="00000000" w:rsidRPr="00000000" w14:paraId="0000038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8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100.0" w:type="dxa"/>
              <w:left w:w="50.0" w:type="dxa"/>
              <w:bottom w:w="100.0" w:type="dxa"/>
              <w:right w:w="50.0" w:type="dxa"/>
            </w:tcMar>
            <w:vAlign w:val="top"/>
          </w:tcPr>
          <w:p w:rsidR="00000000" w:rsidDel="00000000" w:rsidP="00000000" w:rsidRDefault="00000000" w:rsidRPr="00000000" w14:paraId="0000038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w:t>
            </w:r>
          </w:p>
        </w:tc>
        <w:tc>
          <w:tcPr>
            <w:shd w:fill="auto" w:val="clear"/>
            <w:tcMar>
              <w:top w:w="100.0" w:type="dxa"/>
              <w:left w:w="50.0" w:type="dxa"/>
              <w:bottom w:w="100.0" w:type="dxa"/>
              <w:right w:w="50.0" w:type="dxa"/>
            </w:tcMar>
            <w:vAlign w:val="top"/>
          </w:tcPr>
          <w:p w:rsidR="00000000" w:rsidDel="00000000" w:rsidP="00000000" w:rsidRDefault="00000000" w:rsidRPr="00000000" w14:paraId="0000038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21.4%</w:t>
            </w:r>
          </w:p>
        </w:tc>
        <w:tc>
          <w:tcPr>
            <w:shd w:fill="auto" w:val="clear"/>
            <w:tcMar>
              <w:top w:w="100.0" w:type="dxa"/>
              <w:left w:w="50.0" w:type="dxa"/>
              <w:bottom w:w="100.0" w:type="dxa"/>
              <w:right w:w="50.0" w:type="dxa"/>
            </w:tcMar>
            <w:vAlign w:val="top"/>
          </w:tcPr>
          <w:p w:rsidR="00000000" w:rsidDel="00000000" w:rsidP="00000000" w:rsidRDefault="00000000" w:rsidRPr="00000000" w14:paraId="0000038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16.4%</w:t>
            </w:r>
          </w:p>
        </w:tc>
        <w:tc>
          <w:tcPr>
            <w:shd w:fill="auto" w:val="clear"/>
            <w:tcMar>
              <w:top w:w="100.0" w:type="dxa"/>
              <w:left w:w="50.0" w:type="dxa"/>
              <w:bottom w:w="100.0" w:type="dxa"/>
              <w:right w:w="50.0" w:type="dxa"/>
            </w:tcMar>
            <w:vAlign w:val="top"/>
          </w:tcPr>
          <w:p w:rsidR="00000000" w:rsidDel="00000000" w:rsidP="00000000" w:rsidRDefault="00000000" w:rsidRPr="00000000" w14:paraId="0000038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9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100.0" w:type="dxa"/>
              <w:left w:w="50.0" w:type="dxa"/>
              <w:bottom w:w="100.0" w:type="dxa"/>
              <w:right w:w="50.0" w:type="dxa"/>
            </w:tcMar>
            <w:vAlign w:val="top"/>
          </w:tcPr>
          <w:p w:rsidR="00000000" w:rsidDel="00000000" w:rsidP="00000000" w:rsidRDefault="00000000" w:rsidRPr="00000000" w14:paraId="0000039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15</w:t>
            </w:r>
          </w:p>
        </w:tc>
        <w:tc>
          <w:tcPr>
            <w:shd w:fill="auto" w:val="clear"/>
            <w:tcMar>
              <w:top w:w="100.0" w:type="dxa"/>
              <w:left w:w="50.0" w:type="dxa"/>
              <w:bottom w:w="100.0" w:type="dxa"/>
              <w:right w:w="50.0" w:type="dxa"/>
            </w:tcMar>
            <w:vAlign w:val="top"/>
          </w:tcPr>
          <w:p w:rsidR="00000000" w:rsidDel="00000000" w:rsidP="00000000" w:rsidRDefault="00000000" w:rsidRPr="00000000" w14:paraId="0000039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20.0%</w:t>
            </w:r>
          </w:p>
        </w:tc>
        <w:tc>
          <w:tcPr>
            <w:shd w:fill="auto" w:val="clear"/>
            <w:tcMar>
              <w:top w:w="100.0" w:type="dxa"/>
              <w:left w:w="50.0" w:type="dxa"/>
              <w:bottom w:w="100.0" w:type="dxa"/>
              <w:right w:w="50.0" w:type="dxa"/>
            </w:tcMar>
            <w:vAlign w:val="top"/>
          </w:tcPr>
          <w:p w:rsidR="00000000" w:rsidDel="00000000" w:rsidP="00000000" w:rsidRDefault="00000000" w:rsidRPr="00000000" w14:paraId="0000039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18.9%</w:t>
            </w:r>
          </w:p>
        </w:tc>
        <w:tc>
          <w:tcPr>
            <w:shd w:fill="auto" w:val="clear"/>
            <w:tcMar>
              <w:top w:w="100.0" w:type="dxa"/>
              <w:left w:w="50.0" w:type="dxa"/>
              <w:bottom w:w="100.0" w:type="dxa"/>
              <w:right w:w="50.0" w:type="dxa"/>
            </w:tcMar>
            <w:vAlign w:val="top"/>
          </w:tcPr>
          <w:p w:rsidR="00000000" w:rsidDel="00000000" w:rsidP="00000000" w:rsidRDefault="00000000" w:rsidRPr="00000000" w14:paraId="0000039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9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100.0" w:type="dxa"/>
              <w:left w:w="50.0" w:type="dxa"/>
              <w:bottom w:w="100.0" w:type="dxa"/>
              <w:right w:w="50.0" w:type="dxa"/>
            </w:tcMar>
            <w:vAlign w:val="top"/>
          </w:tcPr>
          <w:p w:rsidR="00000000" w:rsidDel="00000000" w:rsidP="00000000" w:rsidRDefault="00000000" w:rsidRPr="00000000" w14:paraId="0000039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w:t>
            </w:r>
          </w:p>
        </w:tc>
        <w:tc>
          <w:tcPr>
            <w:shd w:fill="auto" w:val="clear"/>
            <w:tcMar>
              <w:top w:w="100.0" w:type="dxa"/>
              <w:left w:w="50.0" w:type="dxa"/>
              <w:bottom w:w="100.0" w:type="dxa"/>
              <w:right w:w="50.0" w:type="dxa"/>
            </w:tcMar>
            <w:vAlign w:val="top"/>
          </w:tcPr>
          <w:p w:rsidR="00000000" w:rsidDel="00000000" w:rsidP="00000000" w:rsidRDefault="00000000" w:rsidRPr="00000000" w14:paraId="0000039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21.4%</w:t>
            </w:r>
          </w:p>
        </w:tc>
        <w:tc>
          <w:tcPr>
            <w:shd w:fill="auto" w:val="clear"/>
            <w:tcMar>
              <w:top w:w="100.0" w:type="dxa"/>
              <w:left w:w="50.0" w:type="dxa"/>
              <w:bottom w:w="100.0" w:type="dxa"/>
              <w:right w:w="50.0" w:type="dxa"/>
            </w:tcMar>
            <w:vAlign w:val="top"/>
          </w:tcPr>
          <w:p w:rsidR="00000000" w:rsidDel="00000000" w:rsidP="00000000" w:rsidRDefault="00000000" w:rsidRPr="00000000" w14:paraId="0000039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18.8%</w:t>
            </w:r>
          </w:p>
        </w:tc>
        <w:tc>
          <w:tcPr>
            <w:shd w:fill="auto" w:val="clear"/>
            <w:tcMar>
              <w:top w:w="100.0" w:type="dxa"/>
              <w:left w:w="50.0" w:type="dxa"/>
              <w:bottom w:w="100.0" w:type="dxa"/>
              <w:right w:w="50.0" w:type="dxa"/>
            </w:tcMar>
            <w:vAlign w:val="top"/>
          </w:tcPr>
          <w:p w:rsidR="00000000" w:rsidDel="00000000" w:rsidP="00000000" w:rsidRDefault="00000000" w:rsidRPr="00000000" w14:paraId="0000039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All-task (intention-to-treat) accuracy. </w:t>
      </w:r>
      <w:r>
        <w:rPr>
          <w:rFonts w:ascii="Times New Roman" w:cs="Times New Roman" w:eastAsia="Times New Roman" w:hAnsi="Times New Roman"/>
          <w:sz w:val="20"/>
          <w:szCs w:val="20"/>
          <w:rtl w:val="0"/>
        </w:rPr>
        <w:t xml:space="preserve">Every accuracy in the body of the paper is per-protocol: it is computed over the instances for which the verifier returned a parseable SUCCESS or FAILURE verdict. A deployment cannot discard the others, so we also report the all-task rate, which counts every instance in the denominator and treats an unparseable or failed response as a verification the system did not deliver. The two agree to within 0.001 for thirteen of the twenty runs. The seven that differ by more belong to GPT-4.1 Nano, where the largest shift is Condition D at 0.025, and to Claude Sonnet 4, which has the lowest valid-response rates of any verifier: its Condition C falls from 0.803 to 0.721 and Condition D from 0.752 to 0.680. That difference changes the ranking within Condition C, where Claude leads on the per-protocol figure but sits behind Gemini 3.6 Flash (0.782) and GPT-4.1 Mini (0.735) on the all-task figure. The Condition B result that our recommendation rests on is not affected: Claude remains the most accurate verifier under both conventions (0.867 per-protocol, 0.854 all-task). Escalating an invalid response to a human is the other reasonable policy; its cost is the complement of the valid-response rate in the table below, which is at most 10.2 percent of instances for any run.</w:t>
      </w:r>
    </w:p>
    <w:p>
      <w:pPr>
        <w:jc w:val="both"/>
        <w:rPr>
          <w:rFonts w:ascii="Times New Roman" w:cs="Times New Roman" w:eastAsia="Times New Roman" w:hAnsi="Times New Roman"/>
          <w:sz w:val="20"/>
          <w:szCs w:val="20"/>
        </w:rPr>
      </w:pP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0"/>
        <w:gridCol w:w="490"/>
        <w:gridCol w:w="740"/>
        <w:gridCol w:w="1010"/>
        <w:gridCol w:w="960"/>
      </w:tblGrid>
      <w:tr>
        <w:trPr>
          <w:cantSplit w:val="1"/>
          <w:tblHeader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Valid / N</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Per-protocol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All-task</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0.766</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0.836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0.827</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0.673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0.673</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0.714</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0.638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0.637</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0.844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0.843</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0.735</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0.700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0.700</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0.821</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0.585</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0.585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0.646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0.646</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0.745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0.867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0.854</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0.803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0.721</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0.752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0.680</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0.779</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0.788</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0.810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0.810</w:t>
            </w:r>
          </w:p>
        </w:tc>
      </w:tr>
    </w:tbl>
    <w:p>
      <w:pPr>
        <w:jc w:val="both"/>
        <w:rPr>
          <w:rFonts w:ascii="Times New Roman" w:cs="Times New Roman" w:eastAsia="Times New Roman" w:hAnsi="Times New Roman"/>
          <w:sz w:val="20"/>
          <w:szCs w:val="20"/>
        </w:rPr>
      </w:pP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A1">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A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A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A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A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B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B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B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B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60.0" w:type="dxa"/>
              <w:bottom w:w="100.0" w:type="dxa"/>
              <w:right w:w="60.0" w:type="dxa"/>
            </w:tcMar>
            <w:vAlign w:val="top"/>
          </w:tcPr>
          <w:p w:rsidR="00000000" w:rsidDel="00000000" w:rsidP="00000000" w:rsidRDefault="00000000" w:rsidRPr="00000000" w14:paraId="000003B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B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7"/>
        <w:gridCol w:w="1763"/>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C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C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p>
    <w:p>
      <w:pPr>
        <w:jc w:val="center"/>
      </w:pP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b w:val="1"/>
          <w:bCs w:val="1"/>
          <w:sz w:val="20"/>
          <w:szCs w:val="20"/>
        </w:rPr>
      </w:pPr>
      <w:bookmarkStart w:colFirst="0" w:colLast="0" w:name="_gqkfdeqri12q" w:id="21"/>
      <w:bookmarkEnd w:id="21"/>
      <w:r>
        <w:rPr>
          <w:rFonts w:ascii="Times New Roman" w:cs="Times New Roman" w:eastAsia="Times New Roman" w:hAnsi="Times New Roman"/>
          <w:b w:val="1"/>
          <w:bCs w:val="1"/>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 × 2048 PNG (portrait, 5:8 aspect ratio). They are sent to each provider without any resizing or compression, base64-encoded. Reference screenshots from human trajectories are 800 × 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5"/>
        <w:tblW w:w="3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20"/>
        <w:gridCol w:w="116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Provider</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Max output tokens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Temperature</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 (gpt-4.1, mini,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 (claude-sonnet-4)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 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4096</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Images are sent as base64 in each provider's native container: an image_url block with a data URL and detail set to high for OpenAI, a source block of native PNG for Anthropic, and inline_data parts for Gemini. All three are called through the providers' direct APIs. Providers may rescale internally, OpenAI above its native cap and Anthropic for anything larger than 1568 px on the long edge. Gemini does not accept a temperature of exactly 0, so we use the smallest legal value, and Gemini 3.x charges internal reasoning tokens against max_output_tokens, so a 512-token cap truncated most responses mid-JSON. We therefore raise its cap to 4096 and request response_mime_type=application/json; the visible answer remains about 80 tokens, comparable to the other providers.</w:t>
      </w:r>
    </w:p>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6 with exponential backoff (1 s, 2 s, 4 s, 8 s, 16 s). Persistent failures are logged as verdict: API_ERROR.</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b w:val="1"/>
          <w:bCs w:val="1"/>
          <w:sz w:val="20"/>
          <w:szCs w:val="20"/>
        </w:rPr>
      </w:pPr>
      <w:bookmarkStart w:colFirst="0" w:colLast="0" w:name="_be79miqmv2ma" w:id="22"/>
      <w:bookmarkEnd w:id="22"/>
      <w:r>
        <w:rPr>
          <w:rFonts w:ascii="Times New Roman" w:cs="Times New Roman" w:eastAsia="Times New Roman" w:hAnsi="Times New Roman"/>
          <w:b w:val="1"/>
          <w:bCs w:val="1"/>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Times New Roman" w:cs="Cardo" w:eastAsia="Cardo" w:hAnsi="Times New Roman"/>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Landis, J.R., Koch, G.G. "The Measurement of Observer Agreement for Categorical Data." Biometrics 33(1):159-174, 1977. Available: https://www.jstor.org/stable/2529310</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40" w:lineRule="auto"/>
        <w:jc w:val="both"/>
        <w:rPr>
          <w:rFonts w:ascii="Times New Roman" w:cs="Times New Roman" w:eastAsia="Times New Roman" w:hAnsi="Times New Roman"/>
          <w:sz w:val="16"/>
          <w:szCs w:val="16"/>
        </w:rPr>
      </w:pPr>
      <w:r>
        <w:drawing>
          <wp:inline distB="0" distT="0" distL="0" distR="114300">
            <wp:extent cx="914400" cy="1143000"/>
            <wp:effectExtent b="0" l="0" r="0" t="0"/>
            <wp:docPr id="90001" name="photo_vt"/>
            <a:graphic xmlns:a="http://schemas.openxmlformats.org/drawingml/2006/main">
              <a:graphicData uri="http://schemas.openxmlformats.org/drawingml/2006/picture">
                <pic:pic xmlns:pic="http://schemas.openxmlformats.org/drawingml/2006/picture">
                  <pic:nvPicPr>
                    <pic:cNvPr id="0" name="photo_vt"/>
                    <pic:cNvPicPr preferRelativeResize="0"/>
                  </pic:nvPicPr>
                  <pic:blipFill>
                    <a:blip r:embed="rId44"/>
                    <a:srcRect b="0" l="0" r="0" t="0"/>
                    <a:stretch>
                      <a:fillRect/>
                    </a:stretch>
                  </pic:blipFill>
                  <pic:spPr>
                    <a:xfrm>
                      <a:off x="0" y="0"/>
                      <a:ext cx="914400" cy="1143000"/>
                    </a:xfrm>
                    <a:prstGeom prst="rect">
                      <a:avLst/>
                    </a:prstGeom>
                    <a:ln>
                      <a:noFill/>
                    </a:ln>
                  </pic:spPr>
                </pic:pic>
              </a:graphicData>
            </a:graphic>
          </wp:inline>
        </w:drawing>
      </w: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40" w:lineRule="auto"/>
        <w:jc w:val="both"/>
        <w:rPr>
          <w:rFonts w:ascii="Times New Roman" w:cs="Times New Roman" w:eastAsia="Times New Roman" w:hAnsi="Times New Roman"/>
          <w:sz w:val="16"/>
          <w:szCs w:val="16"/>
        </w:rPr>
      </w:pPr>
      <w:r>
        <w:drawing>
          <wp:inline distB="0" distT="0" distL="0" distR="114300">
            <wp:extent cx="914400" cy="1143000"/>
            <wp:effectExtent b="0" l="0" r="0" t="0"/>
            <wp:docPr id="90002" name="photo_sp"/>
            <a:graphic xmlns:a="http://schemas.openxmlformats.org/drawingml/2006/main">
              <a:graphicData uri="http://schemas.openxmlformats.org/drawingml/2006/picture">
                <pic:pic xmlns:pic="http://schemas.openxmlformats.org/drawingml/2006/picture">
                  <pic:nvPicPr>
                    <pic:cNvPr id="0" name="photo_sp"/>
                    <pic:cNvPicPr preferRelativeResize="0"/>
                  </pic:nvPicPr>
                  <pic:blipFill>
                    <a:blip r:embed="rId45"/>
                    <a:srcRect b="0" l="0" r="0" t="0"/>
                    <a:stretch>
                      <a:fillRect/>
                    </a:stretch>
                  </pic:blipFill>
                  <pic:spPr>
                    <a:xfrm>
                      <a:off x="0" y="0"/>
                      <a:ext cx="914400" cy="1143000"/>
                    </a:xfrm>
                    <a:prstGeom prst="rect">
                      <a:avLst/>
                    </a:prstGeom>
                    <a:ln>
                      <a:noFill/>
                    </a:ln>
                  </pic:spPr>
                </pic:pic>
              </a:graphicData>
            </a:graphic>
          </wp:inline>
        </w:drawing>
      </w: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 Id="rId44" Type="http://schemas.openxmlformats.org/officeDocument/2006/relationships/image" Target="media/author_vishwak.png"/><Relationship Id="rId45" Type="http://schemas.openxmlformats.org/officeDocument/2006/relationships/image" Target="media/author_shravani.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