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Autonomous web agents powered by large multimodal models (LMMs) can now complete complex browser tasks, but determining whether a task succeeded remains an open problem. Current evaluation relies on brittle scripted oracles that cannot generalize across websites. We investigate whether LMMs can post-hoc verify task completion by examining a final screenshot, optionally augmented with a reference, either a textual description of the expected outcome or a screenshot from a successful human trajectory. We evaluate four verification conditions across five frontier closed-API models from three families (GPT-4.1, GPT-4.1 Mini, GPT-4.1 Nano, Claude Sonnet 4, Gemini 3.6 Flash) on 909 VisualWebArena trajectories produced by a single GPT-4V + Set-of-Mark agent across three web domains. In this setting, we find: (1) where a text reference helps, it helps substantially, improving accuracy by 6.2 to 20.6 percentage points, with every such gain significant at p &lt; 1e-04 after Bonferroni correction; the size of the gain is bounded by the verifier's unaided ability, and the model with the strongest no-reference baseline (Gemini 3.6 Flash, 77.9%) gains the least (+0.9pp, not significant); (2) the benefit survives cross-generator evaluation for GPT-4.1 (+9.6pp, p=0.018) and GPT-4.1 Mini (+12.9pp, p=0.007), and the best configuration (Claude Sonnet 4 with a text reference) reaches 86.7% accuracy and 0.627 F1; (3) on the 147-instance visual-reference subset, visual references are model-dependent rather than uniformly harmful: GPT-4.1 falls from 69.2% to 58.5% and GPT-4.1 Nano from 75.3% to 67.3%, while GPT-4.1 Mini (61.2% to 73.5%) and Claude Sonnet 4 (76.6% to 80.3%) improve, with Gemini 3.6 Flash essentially unchanged (77.6% to 78.2%); (4) Claude Sonnet 4 is well-calibrated by both ECE and Brier score across all conditions, while the GPT-4.1 family and Gemini are more overconfident. Cross-generator and ablation experiments show that the text-reference benefit was partly inflated by self-agreement bias (the original references were generated by GPT-4.1 Nano, one of the evaluated models) and by evaluation-criteria leakage: references generated from the task description alone, without the benchmark's evaluation criteria, provide no benefit, and a reference that is short, noisy or wrong degrades verification further. A two-annotator study of the obvious / deceptive / partial failure taxonomy used in earlier analysis returned Cohen's kappa of 0.000, so we report the failure-type breakdown descriptively and withdraw claims that depended on it. These results indicate that LMM-based post-hoc verification is viable but reference-dependent, and that reference quality, generator independence, and the way the reference is described to the verifier all matter. The findings are conditional on the VWA + GPT-4V/SoM setting; we release the full evaluation harness, prompts, results, and analysis tooling to support cross-benchmark, cross-agent, and cross-verifier replication.</w:t>
        <w:br/>
        <w:br/>
        <w:t/>
        <w:br/>
        <w:br/>
        <w:t/>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Index Terms: large multimodal models, LLM-as-judge, autonomous web agents, post-hoc verification, task verification, confidence calibration, VisualWebArena, multimodal evaluation</w:t>
      </w:r>
      <w:r>
        <w:rPr>
          <w:rFonts w:ascii="Helvetica Neue" w:cs="Helvetica Neue" w:eastAsia="Helvetica Neue" w:hAnsi="Helvetica Neue"/>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gutter="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use post-hoc verification to mean an LMM judge deciding, from the final screenshot, whether an LMM agent's task succeeded. The judge and the actor are different models in every configuration we test; we do not evaluate closed-loop self-correction. We study this question through a controlled experiment comparing four verification conditions:</w:t>
      </w:r>
    </w:p>
    <w:p>
      <w:pPr>
        <w:jc w:val="both"/>
      </w:pPr>
      <w:r>
        <w:rPr>
          <w:rFonts w:ascii="Times New Roman" w:cs="Times New Roman" w:eastAsia="Times New Roman" w:hAnsi="Times New Roman"/>
          <w:sz w:val="20"/>
          <w:szCs w:val="20"/>
          <w:rtl w:val="0"/>
        </w:rPr>
        <w:t>A text reference is a natural-language description of what the successful completion of a task should look like on the final web page. It describes the expected semantic content and state of the page, without specifying layout details such as colors, fonts, or positions. Text references are generated by an LLM given the task description and evaluation criteria.</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Prompt correction. In the originally submitted implementation, the Condition C and D user prompts described the first image as "the reference state (what the page looked like before the agent started)". That description was incorrect: the reference image is the final page state of a human demonstration that completed the task successfully, extracted from the VisualWebArena human Playwright traces, and the 147-instance visual subset is defined precisely by which instances have such a trace. The prompt text in Appendix A of the original submission already described the reference correctly, so the implementation and the documented protocol disagreed. For this revision we corrected the implementation to match Appendix A and re-ran Conditions C and D for all five verifiers. The correction raises Condition C accuracy for every model, by between 2.7 and 5.1 percentage points, while leaving Condition D almost unchanged, which is the expected pattern: Condition D also supplies a textual description of the expected outcome, so it is less sensitive to how the image is captioned. All Condition C and D results reported here use the corrected prompt; the pre-correction runs are retained in the released repository.</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3.6 Flash (Google), on 909 task instances from VisualWebArena [3], covering three web domains (e-commerce, classifieds, social media).</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Model availability note. The originally submitted version of this study evaluated gemini-2.5-flash. That model has since been retired by Google and returns HTTP 404 for API keys issued after its cutoff, so its results are no longer reproducible and the per-instance outputs could not be regenerated. For this revision we substituted gemini-3.6-flash, the successor named in Google's own deprecation message, and re-ran it from scratch across all four conditions and both reference-generator ablations. All Gemini numbers reported here are therefore from gemini-3.6-flash. The substitution changes one headline result: gemini-2.5-flash showed a significant A→B text-reference benefit, whereas gemini-3.6-flash does not, which is why we report the effect as holding for four of five models rather than all five. Aggregate statistics for the retired model are preserved in the released repository for comparison.</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controlled comparison</w:t>
      </w:r>
      <w:r>
        <w:rPr>
          <w:rFonts w:ascii="Times New Roman" w:cs="Times New Roman" w:eastAsia="Times New Roman" w:hAnsi="Times New Roman"/>
          <w:sz w:val="20"/>
          <w:szCs w:val="20"/>
          <w:rtl w:val="0"/>
        </w:rPr>
        <w:t xml:space="preserve"> of reference modalities for LMM post-hoc verification on a fixed set of VWA trajectories, spanning three closed-API model families. Text references improve accuracy by 6.2 to 20.6 percentage points for four of the five verifiers, each significant after Bonferroni correction, while the fifth gains little and already has the strongest no-reference baseline. Visual references are model-dependent on the 147-instance subset: they degrade GPT-4.1 and GPT-4.1 Nano, improve GPT-4.1 Mini and Claude Sonnet 4, and leave Gemini 3.6 Flash unchanged.</w:t>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breakdown</w:t>
      </w:r>
      <w:r>
        <w:rPr>
          <w:rFonts w:ascii="Times New Roman" w:cs="Times New Roman" w:eastAsia="Times New Roman" w:hAnsi="Times New Roman"/>
          <w:sz w:val="20"/>
          <w:szCs w:val="20"/>
          <w:rtl w:val="0"/>
        </w:rPr>
        <w:t xml:space="preserve"> together with an inter-annotator agreement study of the taxonomy it relies on. The agreement study returned Cohen's kappa of 0.000, so we report the breakdown descriptively and withdraw the claim that references act selectively on deceptive failures.</w:t>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Times New Roman" w:cs="Gungsuh" w:eastAsia="Gungsuh" w:hAnsi="Times New Roman"/>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Pan et al.'s autonomous evaluation framework [5] and the WebJudge evaluator [11], which uses GPT-4V to evaluate web agent trajectories; however, they do not systematically vary the reference information provided to the judge or analyze calibration properties. Broader agent benchmarks such as AgentBench [12], Mind2Web [13], and TravelPlanner [14]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Post-hoc verificationwhere an LMM judge decides, from the final screenshot, whether an LMM agent's task succeeded, is related to self-reflection [15], self-debugging [8], and ReAct-style reasoning-action loops [16]. Reflexion [15] demonstrated that iterative self-evaluation improves downstream task performance, but assumes the self-evaluation signal is reliable. Our work directly measures how reliable that signal is and what information is required to make it useful.</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[17], [18] and verbalized confidence elicitation [19], [20]. Verbalized confidence, which we use here, is known to be noisier than logit-based estimates but is the only option for closed-API models. We adopt the verbalized 1-10 scale for compatibility across providers and analyze calibration with both Expected Calibration Error [21], [18]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[22]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Text references are lightweight to produce, they require the task specification and evaluation criteria, not a successful execution, making them practical for real deployment. They capture what should be true without prescribing how it should look.</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 Figure 1 summarises the framework: its inputs, the prompt construction for each condition, and the verdict and confidence it returns.</w:t>
      </w:r>
    </w:p>
    <w:p>
      <w:pPr>
        <w:jc w:val="center"/>
      </w:pPr>
      <w:r>
        <w:drawing>
          <wp:inline distB="0" distT="0" distL="0" distR="0">
            <wp:extent cx="2743200" cy="798021"/>
            <wp:effectExtent b="0" l="0" r="0" t="0"/>
            <wp:docPr id="49039" name="framework"/>
            <a:graphic xmlns:a="http://schemas.openxmlformats.org/drawingml/2006/main">
              <a:graphicData uri="http://schemas.openxmlformats.org/drawingml/2006/picture">
                <pic:pic xmlns:pic="http://schemas.openxmlformats.org/drawingml/2006/picture">
                  <pic:nvPicPr>
                    <pic:cNvPr id="0" name="framework"/>
                    <pic:cNvPicPr preferRelativeResize="0"/>
                  </pic:nvPicPr>
                  <pic:blipFill>
                    <a:blip r:embed="rId42"/>
                    <a:srcRect b="0" l="0" r="0" t="0"/>
                    <a:stretch>
                      <a:fillRect/>
                    </a:stretch>
                  </pic:blipFill>
                  <pic:spPr>
                    <a:xfrm>
                      <a:off x="0" y="0"/>
                      <a:ext cx="2743200" cy="798021"/>
                    </a:xfrm>
                    <a:prstGeom prst="rect">
                      <a:avLst/>
                    </a:prstGeom>
                    <a:ln>
                      <a:noFill/>
                    </a:ln>
                  </pic:spPr>
                </pic:pic>
              </a:graphicData>
            </a:graphic>
          </wp:inline>
        </w:drawing>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br/>
        <w:t>Figure 1: Visual Post-Hoc Verification Framework, inputs, prompt construction, and outputs for each of the four conditions (A–D).</w:t>
        <w:br/>
      </w:r>
      <w:r>
        <w:rPr>
          <w:rFonts w:ascii="Times New Roman" w:cs="Times New Roman" w:eastAsia="Times New Roman" w:hAnsi="Times New Roman"/>
          <w:sz w:val="20"/>
          <w:szCs w:val="20"/>
        </w:rPr>
      </w:r>
      <w:r>
        <w:rPr>
          <w:rFonts w:ascii="Times New Roman" w:cs="Times New Roman" w:eastAsia="Times New Roman" w:hAnsi="Times New Roman"/>
          <w:sz w:val="20"/>
          <w:szCs w:val="20"/>
          <w:rtl w:val="0"/>
        </w:rP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rHeight w:val="9.4775390625" w:hRule="atLeast"/>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05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60.0" w:type="dxa"/>
              <w:bottom w:w="100.0" w:type="dxa"/>
              <w:right w:w="60.0" w:type="dxa"/>
            </w:tcMar>
            <w:vAlign w:val="top"/>
          </w:tcPr>
          <w:p w:rsidR="00000000" w:rsidDel="00000000" w:rsidP="00000000" w:rsidRDefault="00000000" w:rsidRPr="00000000" w14:paraId="0000005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60.0" w:type="dxa"/>
              <w:bottom w:w="100.0" w:type="dxa"/>
              <w:right w:w="60.0" w:type="dxa"/>
            </w:tcMar>
            <w:vAlign w:val="top"/>
          </w:tcPr>
          <w:p w:rsidR="00000000" w:rsidDel="00000000" w:rsidP="00000000" w:rsidRDefault="00000000" w:rsidRPr="00000000" w14:paraId="0000005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60.0" w:type="dxa"/>
              <w:bottom w:w="100.0" w:type="dxa"/>
              <w:right w:w="60.0" w:type="dxa"/>
            </w:tcMar>
            <w:vAlign w:val="top"/>
          </w:tcPr>
          <w:p w:rsidR="00000000" w:rsidDel="00000000" w:rsidP="00000000" w:rsidRDefault="00000000" w:rsidRPr="00000000" w14:paraId="0000005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5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60.0" w:type="dxa"/>
              <w:bottom w:w="100.0" w:type="dxa"/>
              <w:right w:w="60.0" w:type="dxa"/>
            </w:tcMar>
            <w:vAlign w:val="top"/>
          </w:tcPr>
          <w:p w:rsidR="00000000" w:rsidDel="00000000" w:rsidP="00000000" w:rsidRDefault="00000000" w:rsidRPr="00000000" w14:paraId="0000005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60.0" w:type="dxa"/>
              <w:bottom w:w="100.0" w:type="dxa"/>
              <w:right w:w="60.0" w:type="dxa"/>
            </w:tcMar>
            <w:vAlign w:val="top"/>
          </w:tcPr>
          <w:p w:rsidR="00000000" w:rsidDel="00000000" w:rsidP="00000000" w:rsidRDefault="00000000" w:rsidRPr="00000000" w14:paraId="0000005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60.0" w:type="dxa"/>
              <w:bottom w:w="100.0" w:type="dxa"/>
              <w:right w:w="60.0" w:type="dxa"/>
            </w:tcMar>
            <w:vAlign w:val="top"/>
          </w:tcPr>
          <w:p w:rsidR="00000000" w:rsidDel="00000000" w:rsidP="00000000" w:rsidRDefault="00000000" w:rsidRPr="00000000" w14:paraId="0000005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5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60.0" w:type="dxa"/>
              <w:bottom w:w="100.0" w:type="dxa"/>
              <w:right w:w="60.0" w:type="dxa"/>
            </w:tcMar>
            <w:vAlign w:val="top"/>
          </w:tcPr>
          <w:p w:rsidR="00000000" w:rsidDel="00000000" w:rsidP="00000000" w:rsidRDefault="00000000" w:rsidRPr="00000000" w14:paraId="0000005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60.0" w:type="dxa"/>
              <w:bottom w:w="100.0" w:type="dxa"/>
              <w:right w:w="60.0" w:type="dxa"/>
            </w:tcMar>
            <w:vAlign w:val="top"/>
          </w:tcPr>
          <w:p w:rsidR="00000000" w:rsidDel="00000000" w:rsidP="00000000" w:rsidRDefault="00000000" w:rsidRPr="00000000" w14:paraId="0000005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60.0" w:type="dxa"/>
              <w:bottom w:w="100.0" w:type="dxa"/>
              <w:right w:w="60.0" w:type="dxa"/>
            </w:tcMar>
            <w:vAlign w:val="top"/>
          </w:tcPr>
          <w:p w:rsidR="00000000" w:rsidDel="00000000" w:rsidP="00000000" w:rsidRDefault="00000000" w:rsidRPr="00000000" w14:paraId="0000005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6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60.0" w:type="dxa"/>
              <w:bottom w:w="100.0" w:type="dxa"/>
              <w:right w:w="60.0" w:type="dxa"/>
            </w:tcMar>
            <w:vAlign w:val="top"/>
          </w:tcPr>
          <w:p w:rsidR="00000000" w:rsidDel="00000000" w:rsidP="00000000" w:rsidRDefault="00000000" w:rsidRPr="00000000" w14:paraId="0000006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60.0" w:type="dxa"/>
              <w:bottom w:w="100.0" w:type="dxa"/>
              <w:right w:w="60.0" w:type="dxa"/>
            </w:tcMar>
            <w:vAlign w:val="top"/>
          </w:tcPr>
          <w:p w:rsidR="00000000" w:rsidDel="00000000" w:rsidP="00000000" w:rsidRDefault="00000000" w:rsidRPr="00000000" w14:paraId="0000006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60.0" w:type="dxa"/>
              <w:bottom w:w="100.0" w:type="dxa"/>
              <w:right w:w="60.0" w:type="dxa"/>
            </w:tcMar>
            <w:vAlign w:val="top"/>
          </w:tcPr>
          <w:p w:rsidR="00000000" w:rsidDel="00000000" w:rsidP="00000000" w:rsidRDefault="00000000" w:rsidRPr="00000000" w14:paraId="0000006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[23]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initially hypothesised that references should help most with deceptive failures. As reported in Section 5.3, a two-annotator study found that this categorisation is not reliably reproducible (Cohen's kappa 0.000), so it is used descriptively in what follows and no conclusion depends on it.</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880"/>
        <w:gridCol w:w="1070"/>
        <w:gridCol w:w="1220"/>
      </w:tblGrid>
      <w:tr>
        <w:trPr>
          <w:cantSplit w:val="1"/>
          <w:tblHeader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Family</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Params</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Vision</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Anthropic</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Google</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0"/>
        <w:gridCol w:w="1300"/>
        <w:gridCol w:w="1120"/>
        <w:gridCol w:w="1020"/>
      </w:tblGrid>
      <w:tr>
        <w:trPr>
          <w:cantSplit w:val="1"/>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10,560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Helvetica Neue" w:cs="Helvetica Neue" w:eastAsia="Helvetica Neue" w:hAnsi="Helvetica Neue"/>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computed per-protocol over the instances with a parseable verdict; Appendix D reports the all-task rate that counts an invalid response against the verifier.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w:t>
      </w:r>
      <w:r>
        <w:rPr>
          <w:rFonts w:ascii="Times New Roman" w:cs="Times New Roman" w:eastAsia="Times New Roman" w:hAnsi="Times New Roman"/>
          <w:sz w:val="20"/>
          <w:szCs w:val="20"/>
          <w:rtl w:val="0"/>
        </w:rPr>
        <w:t xml:space="preserve">: for the SUCCESS class specifically. Success-prediction precision is TP/(TP+FP), the fraction of predicted successes that are genuine, and is the quantity a deployment would act on when a verifier reports SUCCESS. The false-positive rate is FP/(FP+TN) throughout, and the false-negative rate FN/(FN+TP); both are reported per model and condition in Appendix B.</w:t>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[24]: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[25]: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[21], [18]: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Helvetica Neue" w:cs="Helvetica Neue" w:eastAsia="Helvetica Neue" w:hAnsi="Helvetica Neue"/>
          <w:b w:val="1"/>
          <w:bCs w:val="1"/>
          <w:i w:val="1"/>
          <w:iCs w:val="1"/>
          <w:sz w:val="18"/>
          <w:szCs w:val="18"/>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[22]</w:t>
      </w:r>
      <w:r>
        <w:rPr>
          <w:rFonts w:ascii="Times New Roman" w:cs="Times New Roman" w:eastAsia="Times New Roman" w:hAnsi="Times New Roman"/>
          <w:sz w:val="20"/>
          <w:szCs w:val="20"/>
          <w:rtl w:val="0"/>
        </w:rPr>
        <w:t xml:space="preserve">: For the 147 visual-reference instances we compute the Structural Similarity Index between each agent screenshot and its human reference screenshot. The two are resampled to a common 800 × 446 grayscale resolution, the native size of the human trace frames, so that neither image is cropped. Because a threshold-based baseline can be tuned for different objectives, we report two rules explicitly rather than a single "optimal" number. The accuracy-maximizing threshold (SSIM &gt; 0.794) attains 81.0% accuracy with 0.000 F1: it is the degenerate rule that labels every instance FAILURE, and its accuracy is exactly the 80.95% majority-class rate on this subset. The F1-maximizing threshold (SSIM &gt; 0.406) attains 0.325 F1 at 46.3% accuracy with a 58.8% false-positive rate. Neither rule is usable, which is the point: pixel-level similarity carries no actionable signal for task verification. A perceptual-hash baseline behaves the same way (accuracy-maximizing pHash distance &lt; 0.234 gives 81.6% accuracy at 0.069 F1). We note that pretrained vision-language similarity (e.g., BLIP-2 [26]) could be substituted; SSIM is a strong, well-understood baseline that requires no learned encoder.</w:t>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Helvetica Neue" w:cs="Helvetica Neue" w:eastAsia="Helvetica Neue" w:hAnsi="Helvetica Neue"/>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 and Figures 2 and 3 plot the same accuracy and F1 values.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0"/>
        <w:gridCol w:w="350"/>
        <w:gridCol w:w="310"/>
        <w:gridCol w:w="950"/>
        <w:gridCol w:w="950"/>
        <w:gridCol w:w="390"/>
        <w:gridCol w:w="380"/>
        <w:gridCol w:w="370"/>
      </w:tblGrid>
      <w:tr>
        <w:trPr>
          <w:cantSplit w:val="1"/>
          <w:tblHeader w:val="1"/>
        </w:trPr>
        <w:tc>
          <w:tcPr>
            <w:shd w:fill="auto" w:val="clear"/>
            <w:tcMar>
              <w:top w:w="100.0" w:type="dxa"/>
              <w:left w:w="40.0" w:type="dxa"/>
              <w:bottom w:w="100.0" w:type="dxa"/>
              <w:right w:w="4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Cond.</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N</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Accuracy</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F1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Bal.Acc</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Prec</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Rec</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B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.774 [.746,.800]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.326 [.255,.389]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C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.836 [.812,.861]</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C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.488 [.417,.557]</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C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.690</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.470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C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.673 [.599,.748]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.368 [.222,.500]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.292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D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D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.739 [.662,.810]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.373 [.200,.525]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.612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.344</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.407</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D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.638 [.607,.669]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.396 [.344,.446]</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.273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E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.844 [.820,.867]</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E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.606 [.546,.663]</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E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.797</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.519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E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.735 [.660,.803]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.339 [.179,.486]</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.357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F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F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.762 [.694,.830]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.462 [.308,.613]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.536</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F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.700 [.671,.731]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.436 [.380,.490]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.315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.705</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0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.821 [.796,.846]</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0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.541 [.477,.603]</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0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.748</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.468</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0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.585 [.503,.667]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.371 [.244,.494]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.261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.643</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1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1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.646 [.565,.721]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.409 [.270,.527]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.643</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11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875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.774 [.746,.802]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.468 [.404,.527]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.592</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2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.867 [.845,.889]</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2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.627 [.562,.688]</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2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.792</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.581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.680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2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.803 [.735,.871]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.594 [.441,.719]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3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3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.752 [.677,.827]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.492 [.338,.630]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.640</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13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.779 [.754,.807]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.501 [.440,.559]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.673</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4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.788 [.760,.814]</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4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.514 [.453,.571]</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4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.744</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.680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4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.782 [.714,.850]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.543 [.373,.676]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.452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.679</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5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5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.810 [.748,.871]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.576 [.421,.714]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.679</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Where a text reference helps, it helps substantially.</w:t>
      </w:r>
      <w:r>
        <w:rPr>
          <w:rFonts w:ascii="Times New Roman" w:cs="Times New Roman" w:eastAsia="Times New Roman" w:hAnsi="Times New Roman"/>
          <w:sz w:val="20"/>
          <w:szCs w:val="20"/>
          <w:rtl w:val="0"/>
        </w:rPr>
        <w:t xml:space="preserve"> Condition B improves on Condition A by +6.2pp (Nano), +20.6pp (Mini), +12.0pp (GPT-4.1) and +9.3pp (Claude Sonnet 4). Each of those four gains is significant by McNemar's test at p &lt; 1e-04 and survives Bonferroni correction across the full 30-test family (Table 2); for GPT-4.1 Mini the effect is very large (b=37, c=224, χ²=132.6). The F1 improvement is larger than accuracy alone suggests: Mini rises from 0.396 to 0.606, so text references help the model identify both successes and failures rather than merely shifting its decision boundary. The size of the gain appears bounded by what the verifier can already determine unaided. Gemini 3.6 Flash has the strongest no-reference baseline of the five models (77.9% in Condition A) and gains the least from a reference (+0.9pp to 78.8%, χ²=0.6, p=0.450, not significant). Read together, these results suggest that a text reference supplies what the verifier could not infer from the screenshot on its own: the more a model already infers, the less a description of the expected outcome adds.</w:t>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w:t>
      </w:r>
      <w:r>
        <w:rPr>
          <w:rFonts w:ascii="Times New Roman" w:cs="Times New Roman" w:eastAsia="Times New Roman" w:hAnsi="Times New Roman"/>
          <w:sz w:val="20"/>
          <w:szCs w:val="20"/>
          <w:rtl w:val="0"/>
        </w:rPr>
        <w:t xml:space="preserve"> Comparisons here use the aligned 147-instance subset (Table 5) so that A and C are measured on identical instances. Two models degrade: GPT-4.1 falls from 69.2% to 58.5% (−10.7pp) and GPT-4.1 Nano from 75.3% to 67.3% (−8.0pp). Two improve: GPT-4.1 Mini rises from 61.2% to 73.5% (+12.2pp) and Claude Sonnet 4 from 76.6% to 80.3% (+3.7pp). Gemini is essentially unchanged (77.6% → 78.2%). No A→C comparison survives Bonferroni correction at alpha'=0.0017, so these differences should be read as suggestive rather than established. The pattern is nonetheless consistent with GPT-4.1 treating surface similarity to the reference as more informative than it is, while Claude and Mini integrate the visual signal without being misled.</w:t>
      </w:r>
    </w:p>
    <w:p>
      <w:pPr>
        <w:jc w:val="both"/>
      </w:pPr>
      <w:r>
        <w:rPr>
          <w:rFonts w:ascii="Times New Roman" w:cs="Times New Roman" w:eastAsia="Times New Roman" w:hAnsi="Times New Roman"/>
          <w:b w:val="1"/>
          <w:bCs w:val="1"/>
          <w:sz w:val="20"/>
          <w:szCs w:val="20"/>
          <w:rtl w:val="0"/>
        </w:rPr>
        <w:t xml:space="preserve">Finding 3: Dual references (D) rarely outperform text-only (B).</w:t>
      </w:r>
      <w:r>
        <w:rPr>
          <w:rFonts w:ascii="Times New Roman" w:cs="Times New Roman" w:eastAsia="Times New Roman" w:hAnsi="Times New Roman"/>
          <w:sz w:val="20"/>
          <w:szCs w:val="20"/>
          <w:rtl w:val="0"/>
        </w:rPr>
        <w:t xml:space="preserve"> On the aligned subset, Condition D underperforms Condition B for four of five models: Nano 80.8% → 73.9%, Mini 79.6% → 76.2%, GPT-4.1 78.2% → 64.6%, and Claude 84.7% → 75.2%. Gemini is the exception, improving from 74.8% to 81.0%. None of these B→D differences survives Bonferroni correction. Where D does fall short of B, the result suggests that visual references introduce noise that partially cancels the benefit of the text reference, with the model anchoring on visual similarity when both modalities are available.</w:t>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Cardo" w:eastAsia="Cardo" w:hAnsi="Times New Roman"/>
          <w:sz w:val="20"/>
          <w:szCs w:val="20"/>
          <w:rtl w:val="0"/>
        </w:rPr>
        <w:t xml:space="preserve"/>
        <w:br w:type="textWrapping"/>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 </w:t>
        <w:br/>
        <w:t>χ² statistic and raw p-value; significance markers (* p&lt;0.05, ** p&lt;0.01, *** p&lt;0.001) refer to uncorrected values. Bold indicates pairs that survive Bonferroni correction at α'=0.05/30=0.00167 across the full 30-test family (5 models × 6 condition pairs); the full corrected table is in Appendix I and results/revision_bonferroni.csv.</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0"/>
        <w:gridCol w:w="915"/>
        <w:gridCol w:w="915"/>
        <w:gridCol w:w="915"/>
        <w:gridCol w:w="91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166">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167">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A→B</w:t>
            </w:r>
          </w:p>
        </w:tc>
        <w:tc>
          <w:tcPr>
            <w:shd w:fill="auto" w:val="clear"/>
            <w:tcMar>
              <w:top w:w="100.0" w:type="dxa"/>
              <w:left w:w="40.0" w:type="dxa"/>
              <w:bottom w:w="100.0" w:type="dxa"/>
              <w:right w:w="40.0" w:type="dxa"/>
            </w:tcMar>
            <w:vAlign w:val="top"/>
          </w:tcPr>
          <w:p w:rsidR="00000000" w:rsidDel="00000000" w:rsidP="00000000" w:rsidRDefault="00000000" w:rsidRPr="00000000" w14:paraId="00000168">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A→C</w:t>
            </w:r>
          </w:p>
        </w:tc>
        <w:tc>
          <w:tcPr>
            <w:shd w:fill="auto" w:val="clear"/>
            <w:tcMar>
              <w:top w:w="100.0" w:type="dxa"/>
              <w:left w:w="40.0" w:type="dxa"/>
              <w:bottom w:w="100.0" w:type="dxa"/>
              <w:right w:w="40.0" w:type="dxa"/>
            </w:tcMar>
            <w:vAlign w:val="top"/>
          </w:tcPr>
          <w:p w:rsidR="00000000" w:rsidDel="00000000" w:rsidP="00000000" w:rsidRDefault="00000000" w:rsidRPr="00000000" w14:paraId="00000169">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B→C</w:t>
            </w:r>
          </w:p>
        </w:tc>
        <w:tc>
          <w:tcPr>
            <w:shd w:fill="auto" w:val="clear"/>
            <w:tcMar>
              <w:top w:w="100.0" w:type="dxa"/>
              <w:left w:w="40.0" w:type="dxa"/>
              <w:bottom w:w="100.0" w:type="dxa"/>
              <w:right w:w="40.0" w:type="dxa"/>
            </w:tcMar>
            <w:vAlign w:val="top"/>
          </w:tcPr>
          <w:p w:rsidR="00000000" w:rsidDel="00000000" w:rsidP="00000000" w:rsidRDefault="00000000" w:rsidRPr="00000000" w14:paraId="0000016A">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B→D</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6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χ²=17.8, p=2e-05*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χ²=2.9, p=0.091</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χ²=7.5, p=0.006</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χ²=2.9, p=0.091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χ²=132.6, p=0e+00*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χ²=5.8, p=0.016</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χ²=2.6, p=0.110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χ²=0.6, p=0.441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χ²=60.0, p=9e-15*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χ²=5.0, p=0.025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χ²=16.0, p=6e-05*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χ²=8.2, p=0.004</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χ²=41.3, p=1e-10*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p=0.832</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p=0.405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χ²=4.7, p=0.031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χ²=0.6, p=0.450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p=1.000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p=0.332</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p=0.022</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Times New Roman" w:cs="Cardo" w:eastAsia="Cardo" w:hAnsi="Times New Roman"/>
          <w:sz w:val="20"/>
          <w:szCs w:val="20"/>
          <w:rtl w:val="0"/>
        </w:rPr>
        <w:t xml:space="preserve">The A→B improvement survives Bonferroni correction for four of the five models; Gemini 3.6 Flash is the exception (p=0.450). Of the 30 paired tests, 6 are Bonferroni-significant, and the same 6 are significant under the Holm-Bonferroni step-down procedure. Four of the six are A→B comparisons; the other two are GPT-4.1 Mini's A→D (χ²=10.0, p=0.0016) and GPT-4.1's B→C (χ²=16.0, p=6e-05). GPT-4.1's B→C is the only surviving contrast involving visual references: for that model, switching from text to visual references significantly worsens performance. The evidence that reference modality drives the effect is therefore now confined to a single model. Claude and Gemini are the most robust to visual references.</w:t>
      </w:r>
      <w:r>
        <w:rPr>
          <w:rFonts w:ascii="Times New Roman" w:cs="Times New Roman" w:eastAsia="Times New Roman" w:hAnsi="Times New Roman"/>
          <w:b w:val="1"/>
          <w:bCs w:val="1"/>
          <w:sz w:val="20"/>
          <w:szCs w:val="20"/>
          <w:rtl w:val="0"/>
        </w:rPr>
      </w:r>
      <w:r>
        <w:rPr>
          <w:rFonts w:ascii="Times New Roman" w:cs="Cardo" w:eastAsia="Cardo"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Times New Roman" w:cs="Gungsuh" w:eastAsia="Gungsuh" w:hAnsi="Times New Roman"/>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Times New Roman" w:cs="Cardo" w:eastAsia="Cardo" w:hAnsi="Times New Roman"/>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454"/>
        <w:gridCol w:w="453"/>
        <w:gridCol w:w="454"/>
        <w:gridCol w:w="453"/>
        <w:gridCol w:w="454"/>
        <w:gridCol w:w="453"/>
        <w:gridCol w:w="454"/>
        <w:gridCol w:w="45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18B">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18C">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A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8D">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A F1</w:t>
            </w:r>
          </w:p>
        </w:tc>
        <w:tc>
          <w:tcPr>
            <w:shd w:fill="auto" w:val="clear"/>
            <w:tcMar>
              <w:top w:w="100.0" w:type="dxa"/>
              <w:left w:w="40.0" w:type="dxa"/>
              <w:bottom w:w="100.0" w:type="dxa"/>
              <w:right w:w="40.0" w:type="dxa"/>
            </w:tcMar>
            <w:vAlign w:val="top"/>
          </w:tcPr>
          <w:p w:rsidR="00000000" w:rsidDel="00000000" w:rsidP="00000000" w:rsidRDefault="00000000" w:rsidRPr="00000000" w14:paraId="0000018E">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B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8F">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B F1</w:t>
            </w:r>
          </w:p>
        </w:tc>
        <w:tc>
          <w:tcPr>
            <w:shd w:fill="auto" w:val="clear"/>
            <w:tcMar>
              <w:top w:w="100.0" w:type="dxa"/>
              <w:left w:w="40.0" w:type="dxa"/>
              <w:bottom w:w="100.0" w:type="dxa"/>
              <w:right w:w="40.0" w:type="dxa"/>
            </w:tcMar>
            <w:vAlign w:val="top"/>
          </w:tcPr>
          <w:p w:rsidR="00000000" w:rsidDel="00000000" w:rsidP="00000000" w:rsidRDefault="00000000" w:rsidRPr="00000000" w14:paraId="00000190">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91">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 F1</w:t>
            </w:r>
          </w:p>
        </w:tc>
        <w:tc>
          <w:tcPr>
            <w:shd w:fill="auto" w:val="clear"/>
            <w:tcMar>
              <w:top w:w="100.0" w:type="dxa"/>
              <w:left w:w="40.0" w:type="dxa"/>
              <w:bottom w:w="100.0" w:type="dxa"/>
              <w:right w:w="40.0" w:type="dxa"/>
            </w:tcMar>
            <w:vAlign w:val="top"/>
          </w:tcPr>
          <w:p w:rsidR="00000000" w:rsidDel="00000000" w:rsidP="00000000" w:rsidRDefault="00000000" w:rsidRPr="00000000" w14:paraId="00000192">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D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93">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D F1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9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Nano</w:t>
            </w:r>
          </w:p>
        </w:tc>
        <w:tc>
          <w:tcPr>
            <w:shd w:fill="auto" w:val="clear"/>
            <w:tcMar>
              <w:top w:w="100.0" w:type="dxa"/>
              <w:left w:w="40.0" w:type="dxa"/>
              <w:bottom w:w="100.0" w:type="dxa"/>
              <w:right w:w="40.0" w:type="dxa"/>
            </w:tcMar>
            <w:vAlign w:val="top"/>
          </w:tcPr>
          <w:p w:rsidR="00000000" w:rsidDel="00000000" w:rsidP="00000000" w:rsidRDefault="00000000" w:rsidRPr="00000000" w14:paraId="0000019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.753</w:t>
            </w:r>
          </w:p>
        </w:tc>
        <w:tc>
          <w:tcPr>
            <w:shd w:fill="auto" w:val="clear"/>
            <w:tcMar>
              <w:top w:w="100.0" w:type="dxa"/>
              <w:left w:w="40.0" w:type="dxa"/>
              <w:bottom w:w="100.0" w:type="dxa"/>
              <w:right w:w="40.0" w:type="dxa"/>
            </w:tcMar>
            <w:vAlign w:val="top"/>
          </w:tcPr>
          <w:p w:rsidR="00000000" w:rsidDel="00000000" w:rsidP="00000000" w:rsidRDefault="00000000" w:rsidRPr="00000000" w14:paraId="0000019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.308</w:t>
            </w:r>
          </w:p>
        </w:tc>
        <w:tc>
          <w:tcPr>
            <w:shd w:fill="auto" w:val="clear"/>
            <w:tcMar>
              <w:top w:w="100.0" w:type="dxa"/>
              <w:left w:w="40.0" w:type="dxa"/>
              <w:bottom w:w="100.0" w:type="dxa"/>
              <w:right w:w="40.0" w:type="dxa"/>
            </w:tcMar>
            <w:vAlign w:val="top"/>
          </w:tcPr>
          <w:p w:rsidR="00000000" w:rsidDel="00000000" w:rsidP="00000000" w:rsidRDefault="00000000" w:rsidRPr="00000000" w14:paraId="0000019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.808</w:t>
            </w:r>
          </w:p>
        </w:tc>
        <w:tc>
          <w:tcPr>
            <w:shd w:fill="auto" w:val="clear"/>
            <w:tcMar>
              <w:top w:w="100.0" w:type="dxa"/>
              <w:left w:w="40.0" w:type="dxa"/>
              <w:bottom w:w="100.0" w:type="dxa"/>
              <w:right w:w="40.0" w:type="dxa"/>
            </w:tcMar>
            <w:vAlign w:val="top"/>
          </w:tcPr>
          <w:p w:rsidR="00000000" w:rsidDel="00000000" w:rsidP="00000000" w:rsidRDefault="00000000" w:rsidRPr="00000000" w14:paraId="0000019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.517</w:t>
            </w:r>
          </w:p>
        </w:tc>
        <w:tc>
          <w:tcPr>
            <w:shd w:fill="auto" w:val="clear"/>
            <w:tcMar>
              <w:top w:w="100.0" w:type="dxa"/>
              <w:left w:w="40.0" w:type="dxa"/>
              <w:bottom w:w="100.0" w:type="dxa"/>
              <w:right w:w="40.0" w:type="dxa"/>
            </w:tcMar>
            <w:vAlign w:val="top"/>
          </w:tcPr>
          <w:p w:rsidR="00000000" w:rsidDel="00000000" w:rsidP="00000000" w:rsidRDefault="00000000" w:rsidRPr="00000000" w14:paraId="0000019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.673</w:t>
            </w:r>
          </w:p>
        </w:tc>
        <w:tc>
          <w:tcPr>
            <w:shd w:fill="auto" w:val="clear"/>
            <w:tcMar>
              <w:top w:w="100.0" w:type="dxa"/>
              <w:left w:w="40.0" w:type="dxa"/>
              <w:bottom w:w="100.0" w:type="dxa"/>
              <w:right w:w="40.0" w:type="dxa"/>
            </w:tcMar>
            <w:vAlign w:val="top"/>
          </w:tcPr>
          <w:p w:rsidR="00000000" w:rsidDel="00000000" w:rsidP="00000000" w:rsidRDefault="00000000" w:rsidRPr="00000000" w14:paraId="0000019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.368</w:t>
            </w:r>
          </w:p>
        </w:tc>
        <w:tc>
          <w:tcPr>
            <w:shd w:fill="auto" w:val="clear"/>
            <w:tcMar>
              <w:top w:w="100.0" w:type="dxa"/>
              <w:left w:w="40.0" w:type="dxa"/>
              <w:bottom w:w="100.0" w:type="dxa"/>
              <w:right w:w="40.0" w:type="dxa"/>
            </w:tcMar>
            <w:vAlign w:val="top"/>
          </w:tcPr>
          <w:p w:rsidR="00000000" w:rsidDel="00000000" w:rsidP="00000000" w:rsidRDefault="00000000" w:rsidRPr="00000000" w14:paraId="0000019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.739</w:t>
            </w:r>
          </w:p>
        </w:tc>
        <w:tc>
          <w:tcPr>
            <w:shd w:fill="auto" w:val="clear"/>
            <w:tcMar>
              <w:top w:w="100.0" w:type="dxa"/>
              <w:left w:w="40.0" w:type="dxa"/>
              <w:bottom w:w="100.0" w:type="dxa"/>
              <w:right w:w="40.0" w:type="dxa"/>
            </w:tcMar>
            <w:vAlign w:val="top"/>
          </w:tcPr>
          <w:p w:rsidR="00000000" w:rsidDel="00000000" w:rsidP="00000000" w:rsidRDefault="00000000" w:rsidRPr="00000000" w14:paraId="0000019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.373</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9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Mini</w:t>
            </w:r>
          </w:p>
        </w:tc>
        <w:tc>
          <w:tcPr>
            <w:shd w:fill="auto" w:val="clear"/>
            <w:tcMar>
              <w:top w:w="100.0" w:type="dxa"/>
              <w:left w:w="40.0" w:type="dxa"/>
              <w:bottom w:w="100.0" w:type="dxa"/>
              <w:right w:w="40.0" w:type="dxa"/>
            </w:tcMar>
            <w:vAlign w:val="top"/>
          </w:tcPr>
          <w:p w:rsidR="00000000" w:rsidDel="00000000" w:rsidP="00000000" w:rsidRDefault="00000000" w:rsidRPr="00000000" w14:paraId="0000019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.612</w:t>
            </w:r>
          </w:p>
        </w:tc>
        <w:tc>
          <w:tcPr>
            <w:shd w:fill="auto" w:val="clear"/>
            <w:tcMar>
              <w:top w:w="100.0" w:type="dxa"/>
              <w:left w:w="40.0" w:type="dxa"/>
              <w:bottom w:w="100.0" w:type="dxa"/>
              <w:right w:w="40.0" w:type="dxa"/>
            </w:tcMar>
            <w:vAlign w:val="top"/>
          </w:tcPr>
          <w:p w:rsidR="00000000" w:rsidDel="00000000" w:rsidP="00000000" w:rsidRDefault="00000000" w:rsidRPr="00000000" w14:paraId="0000019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.436</w:t>
            </w:r>
          </w:p>
        </w:tc>
        <w:tc>
          <w:tcPr>
            <w:shd w:fill="auto" w:val="clear"/>
            <w:tcMar>
              <w:top w:w="100.0" w:type="dxa"/>
              <w:left w:w="40.0" w:type="dxa"/>
              <w:bottom w:w="100.0" w:type="dxa"/>
              <w:right w:w="40.0" w:type="dxa"/>
            </w:tcMar>
            <w:vAlign w:val="top"/>
          </w:tcPr>
          <w:p w:rsidR="00000000" w:rsidDel="00000000" w:rsidP="00000000" w:rsidRDefault="00000000" w:rsidRPr="00000000" w14:paraId="000001A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.796</w:t>
            </w:r>
          </w:p>
        </w:tc>
        <w:tc>
          <w:tcPr>
            <w:shd w:fill="auto" w:val="clear"/>
            <w:tcMar>
              <w:top w:w="100.0" w:type="dxa"/>
              <w:left w:w="40.0" w:type="dxa"/>
              <w:bottom w:w="100.0" w:type="dxa"/>
              <w:right w:w="40.0" w:type="dxa"/>
            </w:tcMar>
            <w:vAlign w:val="top"/>
          </w:tcPr>
          <w:p w:rsidR="00000000" w:rsidDel="00000000" w:rsidP="00000000" w:rsidRDefault="00000000" w:rsidRPr="00000000" w14:paraId="000001A1">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.559</w:t>
            </w:r>
          </w:p>
        </w:tc>
        <w:tc>
          <w:tcPr>
            <w:shd w:fill="auto" w:val="clear"/>
            <w:tcMar>
              <w:top w:w="100.0" w:type="dxa"/>
              <w:left w:w="40.0" w:type="dxa"/>
              <w:bottom w:w="100.0" w:type="dxa"/>
              <w:right w:w="40.0" w:type="dxa"/>
            </w:tcMar>
            <w:vAlign w:val="top"/>
          </w:tcPr>
          <w:p w:rsidR="00000000" w:rsidDel="00000000" w:rsidP="00000000" w:rsidRDefault="00000000" w:rsidRPr="00000000" w14:paraId="000001A2">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.735</w:t>
            </w:r>
          </w:p>
        </w:tc>
        <w:tc>
          <w:tcPr>
            <w:shd w:fill="auto" w:val="clear"/>
            <w:tcMar>
              <w:top w:w="100.0" w:type="dxa"/>
              <w:left w:w="40.0" w:type="dxa"/>
              <w:bottom w:w="100.0" w:type="dxa"/>
              <w:right w:w="40.0" w:type="dxa"/>
            </w:tcMar>
            <w:vAlign w:val="top"/>
          </w:tcPr>
          <w:p w:rsidR="00000000" w:rsidDel="00000000" w:rsidP="00000000" w:rsidRDefault="00000000" w:rsidRPr="00000000" w14:paraId="000001A3">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.339</w:t>
            </w:r>
          </w:p>
        </w:tc>
        <w:tc>
          <w:tcPr>
            <w:shd w:fill="auto" w:val="clear"/>
            <w:tcMar>
              <w:top w:w="100.0" w:type="dxa"/>
              <w:left w:w="40.0" w:type="dxa"/>
              <w:bottom w:w="100.0" w:type="dxa"/>
              <w:right w:w="40.0" w:type="dxa"/>
            </w:tcMar>
            <w:vAlign w:val="top"/>
          </w:tcPr>
          <w:p w:rsidR="00000000" w:rsidDel="00000000" w:rsidP="00000000" w:rsidRDefault="00000000" w:rsidRPr="00000000" w14:paraId="000001A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.762</w:t>
            </w:r>
          </w:p>
        </w:tc>
        <w:tc>
          <w:tcPr>
            <w:shd w:fill="auto" w:val="clear"/>
            <w:tcMar>
              <w:top w:w="100.0" w:type="dxa"/>
              <w:left w:w="40.0" w:type="dxa"/>
              <w:bottom w:w="100.0" w:type="dxa"/>
              <w:right w:w="40.0" w:type="dxa"/>
            </w:tcMar>
            <w:vAlign w:val="top"/>
          </w:tcPr>
          <w:p w:rsidR="00000000" w:rsidDel="00000000" w:rsidP="00000000" w:rsidRDefault="00000000" w:rsidRPr="00000000" w14:paraId="000001A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.462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A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w:t>
            </w:r>
          </w:p>
        </w:tc>
        <w:tc>
          <w:tcPr>
            <w:shd w:fill="auto" w:val="clear"/>
            <w:tcMar>
              <w:top w:w="100.0" w:type="dxa"/>
              <w:left w:w="40.0" w:type="dxa"/>
              <w:bottom w:w="100.0" w:type="dxa"/>
              <w:right w:w="40.0" w:type="dxa"/>
            </w:tcMar>
            <w:vAlign w:val="top"/>
          </w:tcPr>
          <w:p w:rsidR="00000000" w:rsidDel="00000000" w:rsidP="00000000" w:rsidRDefault="00000000" w:rsidRPr="00000000" w14:paraId="000001A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.692</w:t>
            </w:r>
          </w:p>
        </w:tc>
        <w:tc>
          <w:tcPr>
            <w:shd w:fill="auto" w:val="clear"/>
            <w:tcMar>
              <w:top w:w="100.0" w:type="dxa"/>
              <w:left w:w="40.0" w:type="dxa"/>
              <w:bottom w:w="100.0" w:type="dxa"/>
              <w:right w:w="40.0" w:type="dxa"/>
            </w:tcMar>
            <w:vAlign w:val="top"/>
          </w:tcPr>
          <w:p w:rsidR="00000000" w:rsidDel="00000000" w:rsidP="00000000" w:rsidRDefault="00000000" w:rsidRPr="00000000" w14:paraId="000001A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.483</w:t>
            </w:r>
          </w:p>
        </w:tc>
        <w:tc>
          <w:tcPr>
            <w:shd w:fill="auto" w:val="clear"/>
            <w:tcMar>
              <w:top w:w="100.0" w:type="dxa"/>
              <w:left w:w="40.0" w:type="dxa"/>
              <w:bottom w:w="100.0" w:type="dxa"/>
              <w:right w:w="40.0" w:type="dxa"/>
            </w:tcMar>
            <w:vAlign w:val="top"/>
          </w:tcPr>
          <w:p w:rsidR="00000000" w:rsidDel="00000000" w:rsidP="00000000" w:rsidRDefault="00000000" w:rsidRPr="00000000" w14:paraId="000001A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.782</w:t>
            </w:r>
          </w:p>
        </w:tc>
        <w:tc>
          <w:tcPr>
            <w:shd w:fill="auto" w:val="clear"/>
            <w:tcMar>
              <w:top w:w="100.0" w:type="dxa"/>
              <w:left w:w="40.0" w:type="dxa"/>
              <w:bottom w:w="100.0" w:type="dxa"/>
              <w:right w:w="40.0" w:type="dxa"/>
            </w:tcMar>
            <w:vAlign w:val="top"/>
          </w:tcPr>
          <w:p w:rsidR="00000000" w:rsidDel="00000000" w:rsidP="00000000" w:rsidRDefault="00000000" w:rsidRPr="00000000" w14:paraId="000001A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.515</w:t>
            </w:r>
          </w:p>
        </w:tc>
        <w:tc>
          <w:tcPr>
            <w:shd w:fill="auto" w:val="clear"/>
            <w:tcMar>
              <w:top w:w="100.0" w:type="dxa"/>
              <w:left w:w="40.0" w:type="dxa"/>
              <w:bottom w:w="100.0" w:type="dxa"/>
              <w:right w:w="40.0" w:type="dxa"/>
            </w:tcMar>
            <w:vAlign w:val="top"/>
          </w:tcPr>
          <w:p w:rsidR="00000000" w:rsidDel="00000000" w:rsidP="00000000" w:rsidRDefault="00000000" w:rsidRPr="00000000" w14:paraId="000001A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.585</w:t>
            </w:r>
          </w:p>
        </w:tc>
        <w:tc>
          <w:tcPr>
            <w:shd w:fill="auto" w:val="clear"/>
            <w:tcMar>
              <w:top w:w="100.0" w:type="dxa"/>
              <w:left w:w="40.0" w:type="dxa"/>
              <w:bottom w:w="100.0" w:type="dxa"/>
              <w:right w:w="40.0" w:type="dxa"/>
            </w:tcMar>
            <w:vAlign w:val="top"/>
          </w:tcPr>
          <w:p w:rsidR="00000000" w:rsidDel="00000000" w:rsidP="00000000" w:rsidRDefault="00000000" w:rsidRPr="00000000" w14:paraId="000001A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.371</w:t>
            </w:r>
          </w:p>
        </w:tc>
        <w:tc>
          <w:tcPr>
            <w:shd w:fill="auto" w:val="clear"/>
            <w:tcMar>
              <w:top w:w="100.0" w:type="dxa"/>
              <w:left w:w="40.0" w:type="dxa"/>
              <w:bottom w:w="100.0" w:type="dxa"/>
              <w:right w:w="40.0" w:type="dxa"/>
            </w:tcMar>
            <w:vAlign w:val="top"/>
          </w:tcPr>
          <w:p w:rsidR="00000000" w:rsidDel="00000000" w:rsidP="00000000" w:rsidRDefault="00000000" w:rsidRPr="00000000" w14:paraId="000001A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.646</w:t>
            </w:r>
          </w:p>
        </w:tc>
        <w:tc>
          <w:tcPr>
            <w:shd w:fill="auto" w:val="clear"/>
            <w:tcMar>
              <w:top w:w="100.0" w:type="dxa"/>
              <w:left w:w="40.0" w:type="dxa"/>
              <w:bottom w:w="100.0" w:type="dxa"/>
              <w:right w:w="40.0" w:type="dxa"/>
            </w:tcMar>
            <w:vAlign w:val="top"/>
          </w:tcPr>
          <w:p w:rsidR="00000000" w:rsidDel="00000000" w:rsidP="00000000" w:rsidRDefault="00000000" w:rsidRPr="00000000" w14:paraId="000001A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.409</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A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Claude Sonnet 4</w:t>
            </w:r>
          </w:p>
        </w:tc>
        <w:tc>
          <w:tcPr>
            <w:shd w:fill="auto" w:val="clear"/>
            <w:tcMar>
              <w:top w:w="100.0" w:type="dxa"/>
              <w:left w:w="40.0" w:type="dxa"/>
              <w:bottom w:w="100.0" w:type="dxa"/>
              <w:right w:w="40.0" w:type="dxa"/>
            </w:tcMar>
            <w:vAlign w:val="top"/>
          </w:tcPr>
          <w:p w:rsidR="00000000" w:rsidDel="00000000" w:rsidP="00000000" w:rsidRDefault="00000000" w:rsidRPr="00000000" w14:paraId="000001B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.766</w:t>
            </w:r>
          </w:p>
        </w:tc>
        <w:tc>
          <w:tcPr>
            <w:shd w:fill="auto" w:val="clear"/>
            <w:tcMar>
              <w:top w:w="100.0" w:type="dxa"/>
              <w:left w:w="40.0" w:type="dxa"/>
              <w:bottom w:w="100.0" w:type="dxa"/>
              <w:right w:w="40.0" w:type="dxa"/>
            </w:tcMar>
            <w:vAlign w:val="top"/>
          </w:tcPr>
          <w:p w:rsidR="00000000" w:rsidDel="00000000" w:rsidP="00000000" w:rsidRDefault="00000000" w:rsidRPr="00000000" w14:paraId="000001B1">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.476</w:t>
            </w:r>
          </w:p>
        </w:tc>
        <w:tc>
          <w:tcPr>
            <w:shd w:fill="auto" w:val="clear"/>
            <w:tcMar>
              <w:top w:w="100.0" w:type="dxa"/>
              <w:left w:w="40.0" w:type="dxa"/>
              <w:bottom w:w="100.0" w:type="dxa"/>
              <w:right w:w="40.0" w:type="dxa"/>
            </w:tcMar>
            <w:vAlign w:val="top"/>
          </w:tcPr>
          <w:p w:rsidR="00000000" w:rsidDel="00000000" w:rsidP="00000000" w:rsidRDefault="00000000" w:rsidRPr="00000000" w14:paraId="000001B2">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.847</w:t>
            </w:r>
          </w:p>
        </w:tc>
        <w:tc>
          <w:tcPr>
            <w:shd w:fill="auto" w:val="clear"/>
            <w:tcMar>
              <w:top w:w="100.0" w:type="dxa"/>
              <w:left w:w="40.0" w:type="dxa"/>
              <w:bottom w:w="100.0" w:type="dxa"/>
              <w:right w:w="40.0" w:type="dxa"/>
            </w:tcMar>
            <w:vAlign w:val="top"/>
          </w:tcPr>
          <w:p w:rsidR="00000000" w:rsidDel="00000000" w:rsidP="00000000" w:rsidRDefault="00000000" w:rsidRPr="00000000" w14:paraId="000001B3">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.593</w:t>
            </w:r>
          </w:p>
        </w:tc>
        <w:tc>
          <w:tcPr>
            <w:shd w:fill="auto" w:val="clear"/>
            <w:tcMar>
              <w:top w:w="100.0" w:type="dxa"/>
              <w:left w:w="40.0" w:type="dxa"/>
              <w:bottom w:w="100.0" w:type="dxa"/>
              <w:right w:w="40.0" w:type="dxa"/>
            </w:tcMar>
            <w:vAlign w:val="top"/>
          </w:tcPr>
          <w:p w:rsidR="00000000" w:rsidDel="00000000" w:rsidP="00000000" w:rsidRDefault="00000000" w:rsidRPr="00000000" w14:paraId="000001B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.803</w:t>
            </w:r>
          </w:p>
        </w:tc>
        <w:tc>
          <w:tcPr>
            <w:shd w:fill="auto" w:val="clear"/>
            <w:tcMar>
              <w:top w:w="100.0" w:type="dxa"/>
              <w:left w:w="40.0" w:type="dxa"/>
              <w:bottom w:w="100.0" w:type="dxa"/>
              <w:right w:w="40.0" w:type="dxa"/>
            </w:tcMar>
            <w:vAlign w:val="top"/>
          </w:tcPr>
          <w:p w:rsidR="00000000" w:rsidDel="00000000" w:rsidP="00000000" w:rsidRDefault="00000000" w:rsidRPr="00000000" w14:paraId="000001B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.594</w:t>
            </w:r>
          </w:p>
        </w:tc>
        <w:tc>
          <w:tcPr>
            <w:shd w:fill="auto" w:val="clear"/>
            <w:tcMar>
              <w:top w:w="100.0" w:type="dxa"/>
              <w:left w:w="40.0" w:type="dxa"/>
              <w:bottom w:w="100.0" w:type="dxa"/>
              <w:right w:w="40.0" w:type="dxa"/>
            </w:tcMar>
            <w:vAlign w:val="top"/>
          </w:tcPr>
          <w:p w:rsidR="00000000" w:rsidDel="00000000" w:rsidP="00000000" w:rsidRDefault="00000000" w:rsidRPr="00000000" w14:paraId="000001B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.752</w:t>
            </w:r>
          </w:p>
        </w:tc>
        <w:tc>
          <w:tcPr>
            <w:shd w:fill="auto" w:val="clear"/>
            <w:tcMar>
              <w:top w:w="100.0" w:type="dxa"/>
              <w:left w:w="40.0" w:type="dxa"/>
              <w:bottom w:w="100.0" w:type="dxa"/>
              <w:right w:w="40.0" w:type="dxa"/>
            </w:tcMar>
            <w:vAlign w:val="top"/>
          </w:tcPr>
          <w:p w:rsidR="00000000" w:rsidDel="00000000" w:rsidP="00000000" w:rsidRDefault="00000000" w:rsidRPr="00000000" w14:paraId="000001B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.492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B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Gemini 3.6 Flash</w:t>
            </w:r>
          </w:p>
        </w:tc>
        <w:tc>
          <w:tcPr>
            <w:shd w:fill="auto" w:val="clear"/>
            <w:tcMar>
              <w:top w:w="100.0" w:type="dxa"/>
              <w:left w:w="40.0" w:type="dxa"/>
              <w:bottom w:w="100.0" w:type="dxa"/>
              <w:right w:w="40.0" w:type="dxa"/>
            </w:tcMar>
            <w:vAlign w:val="top"/>
          </w:tcPr>
          <w:p w:rsidR="00000000" w:rsidDel="00000000" w:rsidP="00000000" w:rsidRDefault="00000000" w:rsidRPr="00000000" w14:paraId="000001B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.776</w:t>
            </w:r>
          </w:p>
        </w:tc>
        <w:tc>
          <w:tcPr>
            <w:shd w:fill="auto" w:val="clear"/>
            <w:tcMar>
              <w:top w:w="100.0" w:type="dxa"/>
              <w:left w:w="40.0" w:type="dxa"/>
              <w:bottom w:w="100.0" w:type="dxa"/>
              <w:right w:w="40.0" w:type="dxa"/>
            </w:tcMar>
            <w:vAlign w:val="top"/>
          </w:tcPr>
          <w:p w:rsidR="00000000" w:rsidDel="00000000" w:rsidP="00000000" w:rsidRDefault="00000000" w:rsidRPr="00000000" w14:paraId="000001B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.560</w:t>
            </w:r>
          </w:p>
        </w:tc>
        <w:tc>
          <w:tcPr>
            <w:shd w:fill="auto" w:val="clear"/>
            <w:tcMar>
              <w:top w:w="100.0" w:type="dxa"/>
              <w:left w:w="40.0" w:type="dxa"/>
              <w:bottom w:w="100.0" w:type="dxa"/>
              <w:right w:w="40.0" w:type="dxa"/>
            </w:tcMar>
            <w:vAlign w:val="top"/>
          </w:tcPr>
          <w:p w:rsidR="00000000" w:rsidDel="00000000" w:rsidP="00000000" w:rsidRDefault="00000000" w:rsidRPr="00000000" w14:paraId="000001B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.748</w:t>
            </w:r>
          </w:p>
        </w:tc>
        <w:tc>
          <w:tcPr>
            <w:shd w:fill="auto" w:val="clear"/>
            <w:tcMar>
              <w:top w:w="100.0" w:type="dxa"/>
              <w:left w:w="40.0" w:type="dxa"/>
              <w:bottom w:w="100.0" w:type="dxa"/>
              <w:right w:w="40.0" w:type="dxa"/>
            </w:tcMar>
            <w:vAlign w:val="top"/>
          </w:tcPr>
          <w:p w:rsidR="00000000" w:rsidDel="00000000" w:rsidP="00000000" w:rsidRDefault="00000000" w:rsidRPr="00000000" w14:paraId="000001B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.493</w:t>
            </w:r>
          </w:p>
        </w:tc>
        <w:tc>
          <w:tcPr>
            <w:shd w:fill="auto" w:val="clear"/>
            <w:tcMar>
              <w:top w:w="100.0" w:type="dxa"/>
              <w:left w:w="40.0" w:type="dxa"/>
              <w:bottom w:w="100.0" w:type="dxa"/>
              <w:right w:w="40.0" w:type="dxa"/>
            </w:tcMar>
            <w:vAlign w:val="top"/>
          </w:tcPr>
          <w:p w:rsidR="00000000" w:rsidDel="00000000" w:rsidP="00000000" w:rsidRDefault="00000000" w:rsidRPr="00000000" w14:paraId="000001B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.782</w:t>
            </w:r>
          </w:p>
        </w:tc>
        <w:tc>
          <w:tcPr>
            <w:shd w:fill="auto" w:val="clear"/>
            <w:tcMar>
              <w:top w:w="100.0" w:type="dxa"/>
              <w:left w:w="40.0" w:type="dxa"/>
              <w:bottom w:w="100.0" w:type="dxa"/>
              <w:right w:w="40.0" w:type="dxa"/>
            </w:tcMar>
            <w:vAlign w:val="top"/>
          </w:tcPr>
          <w:p w:rsidR="00000000" w:rsidDel="00000000" w:rsidP="00000000" w:rsidRDefault="00000000" w:rsidRPr="00000000" w14:paraId="000001B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.543</w:t>
            </w:r>
          </w:p>
        </w:tc>
        <w:tc>
          <w:tcPr>
            <w:shd w:fill="auto" w:val="clear"/>
            <w:tcMar>
              <w:top w:w="100.0" w:type="dxa"/>
              <w:left w:w="40.0" w:type="dxa"/>
              <w:bottom w:w="100.0" w:type="dxa"/>
              <w:right w:w="40.0" w:type="dxa"/>
            </w:tcMar>
            <w:vAlign w:val="top"/>
          </w:tcPr>
          <w:p w:rsidR="00000000" w:rsidDel="00000000" w:rsidP="00000000" w:rsidRDefault="00000000" w:rsidRPr="00000000" w14:paraId="000001B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.810</w:t>
            </w:r>
          </w:p>
        </w:tc>
        <w:tc>
          <w:tcPr>
            <w:shd w:fill="auto" w:val="clear"/>
            <w:tcMar>
              <w:top w:w="100.0" w:type="dxa"/>
              <w:left w:w="40.0" w:type="dxa"/>
              <w:bottom w:w="100.0" w:type="dxa"/>
              <w:right w:w="40.0" w:type="dxa"/>
            </w:tcMar>
            <w:vAlign w:val="top"/>
          </w:tcPr>
          <w:p w:rsidR="00000000" w:rsidDel="00000000" w:rsidP="00000000" w:rsidRDefault="00000000" w:rsidRPr="00000000" w14:paraId="000001C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.576</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except Gemini; (ii) visual references (C) underperform A for GPT-4.1 and GPT-4.1 Nano, improve on it for GPT-4.1 Mini and Claude, and are neutral for Gemini; (iii) D beats B only for Gemini. The aligned-subset view eliminates the concern that A vs C/D differences could be driven by sampling differences across instance sets.</w:t>
      </w:r>
    </w:p>
    <w:p w:rsidR="00000000" w:rsidDel="00000000" w:rsidP="00000000" w:rsidRDefault="00000000" w:rsidRPr="00000000" w14:paraId="000001C2">
      <w:pPr>
        <w:pStyle w:val="Heading3"/>
        <w:jc w:val="both"/>
        <w:rPr>
          <w:rFonts w:ascii="Times New Roman" w:cs="Times New Roman" w:eastAsia="Times New Roman" w:hAnsi="Times New Roman"/>
          <w:sz w:val="20"/>
          <w:szCs w:val="20"/>
        </w:rPr>
      </w:pPr>
      <w:r>
        <w:rPr>
          <w:rFonts w:ascii="Times New Roman" w:cs="Times New Roman" w:eastAsia="Times New Roman" w:hAnsi="Times New Roman"/>
          <w:i w:val="1"/>
          <w:iCs w:val="1"/>
          <w:sz w:val="20"/>
          <w:szCs w:val="20"/>
          <w:rtl w:val="0"/>
        </w:rPr>
        <w:t xml:space="preserve">5.2.2 Cross-Generator Evaluation</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text-reference benefit depends on the specific generator model, we regenerated text references using Claude Sonnet 4 as an independent generator. The original references were generated by GPT-4.1 Nano; using a different model controls for self-agreement bias. We re-ran all five verifiers on the 147-instance visual subset.</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cross-generator results show a more nuanced picture than the original A→B comparison (Table 6):</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t/>
      </w:r>
    </w:p>
    <w:p w:rsidR="00000000" w:rsidDel="00000000" w:rsidP="00000000" w:rsidRDefault="00000000" w:rsidRPr="00000000" w14:paraId="000001C2">
      <w:pPr>
        <w:pStyle w:val="Normal"/>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6: Cross-generator results (Claude Sonnet 4 references, 147-subset). Acc=accuracy, lift=A−B difference, McNemar p-value vs. A.</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0.007</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78.8%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0.018</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0.189</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0.664</w:t>
            </w:r>
          </w:p>
        </w:tc>
      </w:tr>
    </w:tbl>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text-reference benefit is robust for GPT-4.1 (+9.6pp, p=0.018) and GPT-4.1 Mini (+12.9pp, p=0.007) under independent generation. For Nano, Claude Sonnet 4 and Gemini the effect is positive but not significant. Notably, Nano shows the largest gap between self-generated and independently generated references (+5.7pp self versus +1.4pp cross), which is the expected signature of self-agreement bias given that Nano generated the original references. The original A→B comparison therefore represents an upper bound; the cross-generator results provide a more realistic estimate of achievable benefit.</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t/>
      </w:r>
    </w:p>
    <w:p w:rsidR="00000000" w:rsidDel="00000000" w:rsidP="00000000" w:rsidRDefault="00000000" w:rsidRPr="00000000" w14:paraId="000001C2">
      <w:pPr>
        <w:pStyle w:val="Heading3"/>
        <w:jc w:val="both"/>
        <w:rPr>
          <w:rFonts w:ascii="Times New Roman" w:cs="Times New Roman" w:eastAsia="Times New Roman" w:hAnsi="Times New Roman"/>
          <w:sz w:val="20"/>
          <w:szCs w:val="20"/>
        </w:rPr>
      </w:pPr>
      <w:r>
        <w:rPr>
          <w:rFonts w:ascii="Times New Roman" w:cs="Times New Roman" w:eastAsia="Times New Roman" w:hAnsi="Times New Roman"/>
          <w:i w:val="1"/>
          <w:iCs w:val="1"/>
          <w:sz w:val="20"/>
          <w:szCs w:val="20"/>
          <w:rtl w:val="0"/>
        </w:rPr>
        <w:t xml:space="preserve">5.2.3 No-Criteria Ablation</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tested whether the evaluation criteria, and not merely the task description, drive the text-reference benefit. We generated references with GPT-4.1 Nano, the same generator used for the primary references, but omitted the benchmark's evaluation criteria from the generation prompt. Holding the generator fixed isolates the contribution of the criteria: the resulting references contain a natural-language description of the expected outcome but no structured success criteria.</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model shows significant benefit when evaluation criteria are removed (Table 7):</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t/>
      </w:r>
    </w:p>
    <w:p w:rsidR="00000000" w:rsidDel="00000000" w:rsidP="00000000" w:rsidRDefault="00000000" w:rsidRPr="00000000" w14:paraId="000001C2">
      <w:pPr>
        <w:pStyle w:val="Normal"/>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7: No-criteria ablation results. Same format as Table 6. All values on the 147-subset.</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0.089</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70.5%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0.804</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0.581</w:t>
            </w:r>
          </w:p>
        </w:tc>
      </w:tr>
    </w:tbl>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confirms that evaluation criteria, not merely the natural-language task description, are the primary source of the text-reference benefit. The no-criteria references lack the structured success criteria that guide the verifier's judgment, rendering the text reference ineffective.</w:t>
      </w:r>
    </w:p>
    <w:p w:rsidR="00000000" w:rsidDel="00000000" w:rsidP="00000000" w:rsidRDefault="00000000" w:rsidRPr="00000000" w14:paraId="000001C2">
      <w:pPr>
        <w:pStyle w:val="Normal"/>
        <w:jc w:val="both"/>
        <w:rPr>
          <w:rFonts w:ascii="Times New Roman" w:cs="Times New Roman" w:eastAsia="Times New Roman" w:hAnsi="Times New Roman"/>
          <w:sz w:val="20"/>
          <w:szCs w:val="20"/>
        </w:rPr>
      </w:pPr>
      <w:r>
        <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5.3 Failure Type Analysis (Taxonomy Not Validated)</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Reliability of the taxonomy. Before reporting any result conditioned on failure type we state the outcome of the inter-annotator agreement study requested in review. Two annotators independently labelled the same 100 failure instances with the three-way taxonomy, seeing the task description and the agent's final screenshot. Cohen's kappa [27] is 0.000: observed agreement (0.330) is exactly the agreement expected by chance (0.330). The result is not attributable to one annotator, since each also agrees with the original single-annotator labels only at chance (kappa +0.016 and -0.030), and the three label distributions differ substantially, most visibly for the partial category (42 original, 35 and 14 for the two annotators). Inspection of the disagreements shows why: the categories are not mutually exclusive. A task abandoned partway typically also looks plausible, so it satisfies the definitions of both partial and deceptive, and which label an annotator chooses depends on whether they weight how convincing the failure looks or how far the agent progressed. We therefore report the failure-type breakdown below as a description of one annotator's labelling, not as a validated categorisation, and no claim in this paper rests on the distinction between deceptive and partial failures. On the conventional benchmarks for interpreting kappa [28] this falls below even slight agreement. The full agreement analysis is in results/iaa_kappa_3cat_human.txt.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with Condition B (text reference); Δ is the improvement from adding a text reference.</w:t>
      </w:r>
      <w:r>
        <w:rPr>
          <w:rFonts w:ascii="Times New Roman" w:cs="Times New Roman" w:eastAsia="Times New Roman" w:hAnsi="Times New Roman"/>
          <w:sz w:val="20"/>
          <w:szCs w:val="20"/>
          <w:rtl w:val="0"/>
        </w:rPr>
        <w:t xml:space="preserve"> Failure types are the original single-annotator labels, which a two-annotator study found not to be reproducible (Cohen's kappa 0.000, Section 5.3); the rows are descriptive and are not used to support any claim.</w:t>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440"/>
        <w:gridCol w:w="767"/>
        <w:gridCol w:w="440"/>
        <w:gridCol w:w="767"/>
        <w:gridCol w:w="440"/>
        <w:gridCol w:w="766"/>
      </w:tblGrid>
      <w:tr>
        <w:trPr>
          <w:cantSplit w:val="1"/>
          <w:trHeight w:val="400" w:hRule="atLeast"/>
          <w:tblHeader w:val="1"/>
        </w:trPr>
        <w:tc>
          <w:tcPr>
            <w:shd w:fill="auto" w:val="clear"/>
            <w:tcMar>
              <w:top w:w="100.0" w:type="dxa"/>
              <w:left w:w="40.0" w:type="dxa"/>
              <w:bottom w:w="100.0" w:type="dxa"/>
              <w:right w:w="40.0" w:type="dxa"/>
            </w:tcMar>
            <w:vAlign w:val="center"/>
          </w:tcPr>
          <w:p w:rsidR="00000000" w:rsidDel="00000000" w:rsidP="00000000" w:rsidRDefault="00000000" w:rsidRPr="00000000" w14:paraId="000001C7">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8">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Obvious (156)</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A">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Deceptive (287)</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C">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Partial (316)</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CE">
            <w:pPr>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C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D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.830 (+.065)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.925 (+.085)</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D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.935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B">
            <w:pPr>
              <w:jc w:val="left"/>
              <w:rPr>
                <w:rFonts w:ascii="Times New Roman" w:cs="Times New Roman" w:eastAsia="Times New Roman" w:hAnsi="Times New Roman"/>
                <w:sz w:val="15"/>
                <w:szCs w:val="15"/>
              </w:rPr>
            </w:pPr>
            <w:r>
              <w:rPr>
                <w:rFonts w:ascii="Times New Roman" w:cs="Gungsuh" w:eastAsia="Gungsuh" w:hAnsi="Times New Roman"/>
                <w:sz w:val="15"/>
                <w:szCs w:val="15"/>
                <w:rtl w:val="0"/>
              </w:rPr>
              <w:t xml:space="preserve">.932 (−.003)</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D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.410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.750 (+.340)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.561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.840 (+.279)</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.949 (+.168)</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E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.756 (+.250)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.655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.819 (+.164)</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.835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.940 (+.104)</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E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.812 (+.040)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.868 (+.128)</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.980 (+.089)</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F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.712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.724 (+.013)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.760 (+.014)</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F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.896 (+.003)</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 that caveat, the breakdown under the original labelling is as follows (Table 3 and Figure 4).</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Under the original labelling, text references improve accuracy on instances labelled deceptive by +1.4 to +27.9 percentage points (GPT-4.1 Mini 56.1% to 84.0%, GPT-4.1 65.5% to 81.9%, Claude Sonnet 4 74.0% to 86.8%, GPT-4.1 Nano 84.0% to 92.5%, Gemini 3.6 Flash 74.6% to 76.0%). Because the labels are not reproducible, this pattern should be read as descriptive rather than as evidence that references act selectively on deceptive failures.</w:t>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pattern is not confined to one category. For GPT-4.1 Mini and GPT-4.1 the largest gains fall on instances labelled obvious (+34.0pp and +25.0pp), which is consistent with these models failing to recognise even clear failures without a reference. Gains on instances labelled partial are smaller across the board (−0.3 to +16.8pp), and Gemini 3.6 Flash gains little in any category (+0.3 to +1.4pp), consistent with its negligible aggregate A to B effect. Since the categories themselves are not reliably separable, we do not interpret differences between them.</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73152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73152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 Failure-type labels are not validated (Cohen's kappa 0.000, Section 5.3).</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Computing SSIM between agent and human-reference screenshots on the 147 visual-reference instances yields a stark null result: the mean SSIM for SUCCESS instances (0.440 ± 0.118) is statistically indistinguishable from FAILURE instances (0.438 ± 0.114). Sweeping every threshold that can change a prediction, the accuracy-maximizing rule (SSIM &gt; 0.794) reaches 81.0% accuracy, exactly the majority-class rate, with 0.000 F1, because it predicts FAILURE everywhere. Optimizing for F1 instead selects a much lower threshold (SSIM &gt; 0.406) and yields 0.325 F1 at 46.3% accuracy. Reporting a single "optimal threshold" therefore obscures the result: the apparent 81.0% is an artifact of class imbalance, not evidence of discriminative power.</w:t>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also bears on Condition C: a verifier that leans on surface similarity rather than semantic comparison will be misled by a reference screenshot, which is consistent with GPT-4.1 showing the largest Condition C drop. It does not explain the whole pattern, since GPT-4.1 Mini improves under the same condition, so surface anchoring is at best a partial account.</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[18].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Times New Roman" w:cs="Gungsuh" w:eastAsia="Gungsuh" w:hAnsi="Times New Roman"/>
          <w:sz w:val="20"/>
          <w:szCs w:val="20"/>
          <w:rtl w:val="0"/>
        </w:rPr>
        <w:t xml:space="preserve">We map verbalized confidence c ∈ {1,...,10} to predicted probability c/10 of the predicted class being correct, the standard treatment for verbal confidence elicitation [19], [20]. Table 4 reports all three measures per model and condition, and Figure 5 shows the corresponding reliability diagrams for Conditions A and B.</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905"/>
        <w:gridCol w:w="905"/>
        <w:gridCol w:w="905"/>
        <w:gridCol w:w="90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20A">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20B">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C">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B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D">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E">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D ECE_3 / ECE_15 / Brier</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0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top"/>
          </w:tcPr>
          <w:p w:rsidR="00000000" w:rsidDel="00000000" w:rsidP="00000000" w:rsidRDefault="00000000" w:rsidRPr="00000000" w14:paraId="0000021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.251 / .240 / .270</w:t>
            </w:r>
          </w:p>
        </w:tc>
        <w:tc>
          <w:tcPr>
            <w:shd w:fill="auto" w:val="clear"/>
            <w:tcMar>
              <w:top w:w="100.0" w:type="dxa"/>
              <w:left w:w="40.0" w:type="dxa"/>
              <w:bottom w:w="100.0" w:type="dxa"/>
              <w:right w:w="40.0" w:type="dxa"/>
            </w:tcMar>
            <w:vAlign w:val="top"/>
          </w:tcPr>
          <w:p w:rsidR="00000000" w:rsidDel="00000000" w:rsidP="00000000" w:rsidRDefault="00000000" w:rsidRPr="00000000" w14:paraId="0000021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.301 / .297 / .288</w:t>
            </w:r>
          </w:p>
        </w:tc>
        <w:tc>
          <w:tcPr>
            <w:shd w:fill="auto" w:val="clear"/>
            <w:tcMar>
              <w:top w:w="100.0" w:type="dxa"/>
              <w:left w:w="40.0" w:type="dxa"/>
              <w:bottom w:w="100.0" w:type="dxa"/>
              <w:right w:w="40.0" w:type="dxa"/>
            </w:tcMar>
            <w:vAlign w:val="top"/>
          </w:tcPr>
          <w:p w:rsidR="00000000" w:rsidDel="00000000" w:rsidP="00000000" w:rsidRDefault="00000000" w:rsidRPr="00000000" w14:paraId="0000021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.280 / .314 / .327</w:t>
            </w:r>
          </w:p>
        </w:tc>
        <w:tc>
          <w:tcPr>
            <w:shd w:fill="auto" w:val="clear"/>
            <w:tcMar>
              <w:top w:w="100.0" w:type="dxa"/>
              <w:left w:w="40.0" w:type="dxa"/>
              <w:bottom w:w="100.0" w:type="dxa"/>
              <w:right w:w="40.0" w:type="dxa"/>
            </w:tcMar>
            <w:vAlign w:val="top"/>
          </w:tcPr>
          <w:p w:rsidR="00000000" w:rsidDel="00000000" w:rsidP="00000000" w:rsidRDefault="00000000" w:rsidRPr="00000000" w14:paraId="0000021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.279 / .306 / .312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top"/>
          </w:tcPr>
          <w:p w:rsidR="00000000" w:rsidDel="00000000" w:rsidP="00000000" w:rsidRDefault="00000000" w:rsidRPr="00000000" w14:paraId="0000021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.301 / .301 / .326</w:t>
            </w:r>
          </w:p>
        </w:tc>
        <w:tc>
          <w:tcPr>
            <w:shd w:fill="auto" w:val="clear"/>
            <w:tcMar>
              <w:top w:w="100.0" w:type="dxa"/>
              <w:left w:w="40.0" w:type="dxa"/>
              <w:bottom w:w="100.0" w:type="dxa"/>
              <w:right w:w="40.0" w:type="dxa"/>
            </w:tcMar>
            <w:vAlign w:val="top"/>
          </w:tcPr>
          <w:p w:rsidR="00000000" w:rsidDel="00000000" w:rsidP="00000000" w:rsidRDefault="00000000" w:rsidRPr="00000000" w14:paraId="0000021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.093 / .093 / .139</w:t>
            </w:r>
          </w:p>
        </w:tc>
        <w:tc>
          <w:tcPr>
            <w:shd w:fill="auto" w:val="clear"/>
            <w:tcMar>
              <w:top w:w="100.0" w:type="dxa"/>
              <w:left w:w="40.0" w:type="dxa"/>
              <w:bottom w:w="100.0" w:type="dxa"/>
              <w:right w:w="40.0" w:type="dxa"/>
            </w:tcMar>
            <w:vAlign w:val="top"/>
          </w:tcPr>
          <w:p w:rsidR="00000000" w:rsidDel="00000000" w:rsidP="00000000" w:rsidRDefault="00000000" w:rsidRPr="00000000" w14:paraId="0000021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.173 / .199 / .231</w:t>
            </w:r>
          </w:p>
        </w:tc>
        <w:tc>
          <w:tcPr>
            <w:shd w:fill="auto" w:val="clear"/>
            <w:tcMar>
              <w:top w:w="100.0" w:type="dxa"/>
              <w:left w:w="40.0" w:type="dxa"/>
              <w:bottom w:w="100.0" w:type="dxa"/>
              <w:right w:w="40.0" w:type="dxa"/>
            </w:tcMar>
            <w:vAlign w:val="top"/>
          </w:tcPr>
          <w:p w:rsidR="00000000" w:rsidDel="00000000" w:rsidP="00000000" w:rsidRDefault="00000000" w:rsidRPr="00000000" w14:paraId="0000021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.146 / .160 / .206</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top"/>
          </w:tcPr>
          <w:p w:rsidR="00000000" w:rsidDel="00000000" w:rsidP="00000000" w:rsidRDefault="00000000" w:rsidRPr="00000000" w14:paraId="0000021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.251 / .262 / .292</w:t>
            </w:r>
          </w:p>
        </w:tc>
        <w:tc>
          <w:tcPr>
            <w:shd w:fill="auto" w:val="clear"/>
            <w:tcMar>
              <w:top w:w="100.0" w:type="dxa"/>
              <w:left w:w="40.0" w:type="dxa"/>
              <w:bottom w:w="100.0" w:type="dxa"/>
              <w:right w:w="40.0" w:type="dxa"/>
            </w:tcMar>
            <w:vAlign w:val="top"/>
          </w:tcPr>
          <w:p w:rsidR="00000000" w:rsidDel="00000000" w:rsidP="00000000" w:rsidRDefault="00000000" w:rsidRPr="00000000" w14:paraId="0000021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.132 / .161 / .175</w:t>
            </w:r>
          </w:p>
        </w:tc>
        <w:tc>
          <w:tcPr>
            <w:shd w:fill="auto" w:val="clear"/>
            <w:tcMar>
              <w:top w:w="100.0" w:type="dxa"/>
              <w:left w:w="40.0" w:type="dxa"/>
              <w:bottom w:w="100.0" w:type="dxa"/>
              <w:right w:w="40.0" w:type="dxa"/>
            </w:tcMar>
            <w:vAlign w:val="top"/>
          </w:tcPr>
          <w:p w:rsidR="00000000" w:rsidDel="00000000" w:rsidP="00000000" w:rsidRDefault="00000000" w:rsidRPr="00000000" w14:paraId="0000021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.399 / .413 / .414</w:t>
            </w:r>
          </w:p>
        </w:tc>
        <w:tc>
          <w:tcPr>
            <w:shd w:fill="auto" w:val="clear"/>
            <w:tcMar>
              <w:top w:w="100.0" w:type="dxa"/>
              <w:left w:w="40.0" w:type="dxa"/>
              <w:bottom w:w="100.0" w:type="dxa"/>
              <w:right w:w="40.0" w:type="dxa"/>
            </w:tcMar>
            <w:vAlign w:val="top"/>
          </w:tcPr>
          <w:p w:rsidR="00000000" w:rsidDel="00000000" w:rsidP="00000000" w:rsidRDefault="00000000" w:rsidRPr="00000000" w14:paraId="0000021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.326 / .340 / .353</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top"/>
          </w:tcPr>
          <w:p w:rsidR="00000000" w:rsidDel="00000000" w:rsidP="00000000" w:rsidRDefault="00000000" w:rsidRPr="00000000" w14:paraId="0000021F">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.015 / .030 / .163</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0">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.036 / .046 / .106</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1">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.033 / .099 / .163</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2">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.068 / .118 / .171</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2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top"/>
          </w:tcPr>
          <w:p w:rsidR="00000000" w:rsidDel="00000000" w:rsidP="00000000" w:rsidRDefault="00000000" w:rsidRPr="00000000" w14:paraId="0000022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.184 / .178 / .204</w:t>
            </w:r>
          </w:p>
        </w:tc>
        <w:tc>
          <w:tcPr>
            <w:shd w:fill="auto" w:val="clear"/>
            <w:tcMar>
              <w:top w:w="100.0" w:type="dxa"/>
              <w:left w:w="40.0" w:type="dxa"/>
              <w:bottom w:w="100.0" w:type="dxa"/>
              <w:right w:w="40.0" w:type="dxa"/>
            </w:tcMar>
            <w:vAlign w:val="top"/>
          </w:tcPr>
          <w:p w:rsidR="00000000" w:rsidDel="00000000" w:rsidP="00000000" w:rsidRDefault="00000000" w:rsidRPr="00000000" w14:paraId="0000022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.188 / .184 / .203</w:t>
            </w:r>
          </w:p>
        </w:tc>
        <w:tc>
          <w:tcPr>
            <w:shd w:fill="auto" w:val="clear"/>
            <w:tcMar>
              <w:top w:w="100.0" w:type="dxa"/>
              <w:left w:w="40.0" w:type="dxa"/>
              <w:bottom w:w="100.0" w:type="dxa"/>
              <w:right w:w="40.0" w:type="dxa"/>
            </w:tcMar>
            <w:vAlign w:val="top"/>
          </w:tcPr>
          <w:p w:rsidR="00000000" w:rsidDel="00000000" w:rsidP="00000000" w:rsidRDefault="00000000" w:rsidRPr="00000000" w14:paraId="0000022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.197 / .183 / .207</w:t>
            </w:r>
          </w:p>
        </w:tc>
        <w:tc>
          <w:tcPr>
            <w:shd w:fill="auto" w:val="clear"/>
            <w:tcMar>
              <w:top w:w="100.0" w:type="dxa"/>
              <w:left w:w="40.0" w:type="dxa"/>
              <w:bottom w:w="100.0" w:type="dxa"/>
              <w:right w:w="40.0" w:type="dxa"/>
            </w:tcMar>
            <w:vAlign w:val="top"/>
          </w:tcPr>
          <w:p w:rsidR="00000000" w:rsidDel="00000000" w:rsidP="00000000" w:rsidRDefault="00000000" w:rsidRPr="00000000" w14:paraId="0000022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.157 / .184 / .182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pPr>
        <w:jc w:val="center"/>
      </w:pPr>
      <w:r>
        <w:drawing>
          <wp:inline distB="0" distT="0" distL="0" distR="0">
            <wp:extent cx="2743200" cy="1047403"/>
            <wp:effectExtent b="0" l="0" r="0" t="0"/>
            <wp:docPr id="69225" name="reliability_ab"/>
            <a:graphic xmlns:a="http://schemas.openxmlformats.org/drawingml/2006/main">
              <a:graphicData uri="http://schemas.openxmlformats.org/drawingml/2006/picture">
                <pic:pic xmlns:pic="http://schemas.openxmlformats.org/drawingml/2006/picture">
                  <pic:nvPicPr>
                    <pic:cNvPr id="0" name="reliability_ab"/>
                    <pic:cNvPicPr preferRelativeResize="0"/>
                  </pic:nvPicPr>
                  <pic:blipFill>
                    <a:blip r:embed="rId43"/>
                    <a:srcRect b="0" l="0" r="0" t="0"/>
                    <a:stretch>
                      <a:fillRect/>
                    </a:stretch>
                  </pic:blipFill>
                  <pic:spPr>
                    <a:xfrm>
                      <a:off x="0" y="0"/>
                      <a:ext cx="2743200" cy="1047403"/>
                    </a:xfrm>
                    <a:prstGeom prst="rect">
                      <a:avLst/>
                    </a:prstGeom>
                    <a:ln>
                      <a:noFill/>
                    </a:ln>
                  </pic:spPr>
                </pic:pic>
              </a:graphicData>
            </a:graphic>
          </wp:inline>
        </w:drawing>
      </w:r>
    </w:p>
    <w:p>
      <w:pPr>
        <w:jc w:val="center"/>
      </w:pPr>
      <w:r>
        <w:rPr>
          <w:rFonts w:ascii="Times New Roman" w:cs="Times New Roman" w:eastAsia="Times New Roman" w:hAnsi="Times New Roman"/>
          <w:sz w:val="20"/>
          <w:szCs w:val="20"/>
          <w:rtl w:val="0"/>
        </w:rPr>
        <w:t xml:space="preserve">Figure 5: Calibration reliability diagrams for Conditions A and B across all five models.</w:t>
      </w:r>
    </w:p>
    <w:p w:rsidR="00000000" w:rsidDel="00000000" w:rsidP="00000000" w:rsidRDefault="00000000" w:rsidRPr="00000000" w14:paraId="0000022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5: Claude is the best-calibrated verifier on all three measures, in every condition.</w:t>
      </w:r>
      <w:r>
        <w:rPr>
          <w:rFonts w:ascii="Times New Roman" w:cs="Times New Roman" w:eastAsia="Times New Roman" w:hAnsi="Times New Roman"/>
          <w:sz w:val="20"/>
          <w:szCs w:val="20"/>
          <w:rtl w:val="0"/>
        </w:rPr>
        <w:t xml:space="preserve"> This holds whether we bin coarsely (3 bins, matching elicitation) or finely (15 equal-mass bins), and is confirmed by the binning-free Brier score. Claude's near-perfect ECE_3bin (e.g., 0.015 in Condition A) loosens slightly under finer binning (ECE_15bin = 0.030) but remains lower than the next-best model in every condition.</w:t>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Times New Roman" w:cs="Gungsuh" w:eastAsia="Gungsuh" w:hAnsi="Times New Roman"/>
          <w:sz w:val="20"/>
          <w:szCs w:val="20"/>
          <w:rtl w:val="0"/>
        </w:rPr>
        <w:t xml:space="preserve">GPT-4.1 Mini and GPT-4.1 assign confidence ≥ 7 to virtually all predictions (&gt;99% of instances in the highest bin; full per-model histograms in results/revision_confidence_histogram.csv),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Reliability diagrams are reported as Figure 6 (figures/fig6_reliability_diagrams.{pdf,png}).</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b w:val="1"/>
          <w:bCs w:val="1"/>
          <w:color w:val="188038"/>
          <w:sz w:val="20"/>
          <w:szCs w:val="20"/>
          <w:rtl w:val="0"/>
        </w:rPr>
        <w:t xml:space="preserve"/>
      </w:r>
      <w:r>
        <w:rPr>
          <w:rFonts w:ascii="Times New Roman" w:cs="Times New Roman" w:eastAsia="Times New Roman" w:hAnsi="Times New Roman"/>
          <w:b w:val="1"/>
          <w:bCs w:val="1"/>
          <w:sz w:val="20"/>
          <w:szCs w:val="20"/>
          <w:rtl w:val="0"/>
        </w:rPr>
        <w:t xml:space="preserve"/>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747"/>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747"/>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Times New Roman" w:cs="Cardo" w:eastAsia="Cardo" w:hAnsi="Times New Roman"/>
          <w:sz w:val="20"/>
          <w:szCs w:val="20"/>
          <w:rtl w:val="0"/>
        </w:rPr>
        <w:t xml:space="preserve">Text references improve GPT calibration (A→B: ECE_15bin drops for GPT-4.1 Mini from 0.301 to 0.093 and for GPT-4.1 from 0.262 to 0.161), while visual references worsen it for GPT-4.1 (A→C: ECE_15bin rises to 0.413). GPT-4.1 Mini is the counterexample here too, improving to 0.199 under Condition C, so the calibration picture mirrors the accuracy picture rather than splitting cleanly along model families. We caution that verbalized confidence is a known-noisy elicitation method [19];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 4 conditions, including retried PARSE_ERROR/API_ERROR records), we executed 10,560 verification API calls at a total cost of $35.04 (per-call costs and latency in results/revision_cost_latency.csv). Note that the Gemini figures reflect gemini-3.6-flash pricing, which is roughly five times the input and six times the output rate of the retired gemini-2.5-flash used in the original submission.</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w:t>
      </w:r>
      <w:r>
        <w:rPr>
          <w:rFonts w:ascii="Times New Roman" w:cs="Times New Roman" w:eastAsia="Times New Roman" w:hAnsi="Times New Roman"/>
          <w:sz w:val="20"/>
          <w:szCs w:val="20"/>
          <w:rtl w:val="0"/>
        </w:rPr>
        <w:t xml:space="preserve"> GPT-4.1 Nano $0.75, GPT-4.1 Mini $2.15, GPT-4.1 $7.51, Claude Sonnet 4 $21.75, Gemini 3.6 Flash $2.88. Per-call cost ranges from $0.00029 (GPT-4.1 Nano) to $0.0100 (Claude Sonnet 4). Mean per-call latency in Condition B ranges from 3.2 s (GPT-4.1 Mini) to 8.3 s (Gemini 3.6 Flash). Adding a text reference (A→B) increases per-call cost by less than 10% on average and per-call latency negligibly, supporting the practical recommendation in Section 6: text references are a near-zero-cost upgrade. Table 9 summarises cost and latency per model.</w:t>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false positives: the model predicts SUCCESS when the ground truth is FAILURE. In Condition A, GPT-4.1 produces 228 false positives against 44 false negatives, and GPT-4.1 Mini 287 against 42. Gemini 3.6 Flash sits between them, with 152 false positives and 49 false negatives. This bias toward predicting SUCCESS is consistent with a model that treats "things look okay" as the default judgment.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Times New Roman" w:cs="Gungsuh" w:eastAsia="Gungsuh" w:hAnsi="Times New Roman"/>
          <w:sz w:val="20"/>
          <w:szCs w:val="20"/>
          <w:rtl w:val="0"/>
        </w:rPr>
        <w:t>Text references (Condition B) dramatically reduce false positives while only modestly increasing false negatives. For GPT-4.1 Mini, false positives drop from 287 to 101 (−65%) while false negatives decrease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increase the false-positive rate for GPT-4.1. On the 147-instance subset GPT-4.1 produces 51 false positives against 68 true negatives, an FPR of 42.9%, versus 30.0% (228/(228+531)) in Condition A. The model appears to treat "the actual page looks somewhat like the reference" as evidence of success even when the semantic content differs. The effect is model-specific: Claude Sonnet 4 (FPR 18.7%) and Gemini 3.6 Flash (19.3%) do not show it.</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1">
      <w:pPr>
        <w:pStyle w:val="Heading2"/>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i w:val="1"/>
          <w:iCs w:val="1"/>
          <w:sz w:val="18"/>
          <w:szCs w:val="18"/>
          <w:rtl w:val="0"/>
        </w:rPr>
        <w:t xml:space="preserve">5.8 Overconfidence Analysis</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A key finding is that four of the five models exhibit substantial overconfidence: median confidence of 9-10 whether or not the verdict is correct. Claude Sonnet 4 is the exception, with a median of 8 when correct against 7 when wrong in Condition A. Table 8 shows the mean confidence when correct versus when wrong.</w:t>
      </w:r>
    </w:p>
    <w:p w:rsidR="00000000" w:rsidDel="00000000" w:rsidP="00000000" w:rsidRDefault="00000000" w:rsidRPr="00000000" w14:paraId="00000001">
      <w:pPr>
        <w:pStyle w:val="Normal"/>
        <w:jc w:val="center"/>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Table 8: Confidence when correct vs. wrong for Conditions A and B.</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780"/>
        <w:gridCol w:w="780"/>
        <w:gridCol w:w="780"/>
        <w:gridCol w:w="78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wrong</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wrong</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8.83</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9.25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7.28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8.43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7.52</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9.51</w:t>
            </w:r>
          </w:p>
        </w:tc>
      </w:tr>
    </w:tbl>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The overconfidence pattern is most pronounced for the GPT-4.1 family, where mean confidence when wrong equals or exceeds confidence when correct (GPT-4.1 9.78 vs 9.41, GPT-4.1 Mini 9.42 vs 9.37, GPT-4.1 Nano 8.81 vs 8.22 in Condition A). For these models confidence scores alone are unreliable for filtering low-quality verifications. Gemini 3.6 Flash is only marginally better (9.59 correct vs 9.47 wrong), its confidence being almost saturated at the top of the scale. Claude Sonnet 4 shows the best calibration, with a positive gap of +0.7 to +0.9 between correct and incorrect confidence.</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Gemini 3.6 Flash neither gains nor loses appreciably from a text reference (+0.9pp, p=0.450). Inspection of its outputs suggests why: its confidence is saturated near the top of the scale in every condition, and its verdicts change comparatively rarely when a reference is added. Where it does err, the failure mode is reference-anchored: it reports that the expected state is present, echoing the reference text, when the screenshot does not show it.</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t/>
      </w:r>
    </w:p>
    <w:p w:rsidR="00000000" w:rsidDel="00000000" w:rsidP="00000000" w:rsidRDefault="00000000" w:rsidRPr="00000000" w14:paraId="00000001">
      <w:pPr>
        <w:pStyle w:val="Heading2"/>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i w:val="1"/>
          <w:iCs w:val="1"/>
          <w:sz w:val="18"/>
          <w:szCs w:val="18"/>
          <w:rtl w:val="0"/>
        </w:rPr>
        <w:t xml:space="preserve">5.9 Qualitative Analysis</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Across all five models, on instances where both Conditions A and B produced a valid verdict, text references improved verification in 649 instances and degraded it in 209. We present representative examples of both.</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Where text references help: In vwa_classifieds_111 (GT=FAILURE), GPT-4.1 Nano without a reference correctly identifies the task failed but provides incomplete reasoning. With a text reference, it additionally notes the jersey team name mismatch, providing more actionable feedback.</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Where text references hurt: In vwa_classifieds_144 (GT=FAILURE), GPT-4.1 Mini without a reference correctly identifies that the comment text is lowercase ('how funky...') rather than the required 'How funky...'. With a text reference, it overlooks this case-sensitivity issue, likely because the reference states the expected comment without emphasizing exact case matching.</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These examples illustrate that text references are most helpful when they provide structured evaluation criteria that the verifier can systematically check. They are least helpful when the verifier uses the reference as a proxy for task completion rather than as a checklist.</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t/>
      </w:r>
    </w:p>
    <w:p w:rsidR="00000000" w:rsidDel="00000000" w:rsidP="00000000" w:rsidRDefault="00000000" w:rsidRPr="00000000" w14:paraId="00000001">
      <w:pPr>
        <w:pStyle w:val="Heading2"/>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i w:val="1"/>
          <w:iCs w:val="1"/>
          <w:sz w:val="18"/>
          <w:szCs w:val="18"/>
          <w:rtl w:val="0"/>
        </w:rPr>
        <w:t xml:space="preserve">5.10 Cost-Latency Tradeoffs</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t/>
      </w:r>
    </w:p>
    <w:p w:rsidR="00000000" w:rsidDel="00000000" w:rsidP="00000000" w:rsidRDefault="00000000" w:rsidRPr="00000000" w14:paraId="00000001">
      <w:pPr>
        <w:pStyle w:val="Normal"/>
        <w:jc w:val="center"/>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Table 9: Measured cost and latency. Total $ is the cost of all four conditions for that model; the per-call and latency columns are Condition B, the recommended configuration. Cost uses the provider list prices recorded in config.py at the time of the runs; latency is wall-clock per API call and so includes provider queueing. Per-condition figures for all twenty runs are in results/revision_cost_latency.csv.</w:t>
      </w:r>
    </w:p>
    <w:tbl>
      <w:tblPr>
        <w:tblStyle w:val="Table5"/>
        <w:tblW w:w="36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0"/>
        <w:gridCol w:w="560"/>
        <w:gridCol w:w="700"/>
        <w:gridCol w:w="640"/>
        <w:gridCol w:w="600"/>
      </w:tblGrid>
      <w:tr>
        <w:trPr>
          <w:cantSplit w:val="1"/>
          <w:tblHeader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Model</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Total $</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$/call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Mean s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p95 s (B)</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Nano</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0.00029</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Mini</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0.00086</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4.2</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0.00353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14.7</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Claude Sonnet 4</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0.01002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11.1</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Gemini 3.6 Flash</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2.88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0.00127</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24.4</w:t>
            </w:r>
          </w:p>
        </w:tc>
      </w:tr>
    </w:tbl>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GPT-4.1 Nano offers the lowest cost ($0.26 for 909 instances in Condition B) and a good cost-accuracy tradeoff. Claude Sonnet 4 ($9.11) is the most expensive but the most accurate and by far the best calibrated.</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rPr>
          <w:rFonts w:ascii="Times New Roman" w:cs="Times New Roman" w:eastAsia="Times New Roman" w:hAnsi="Times New Roman"/>
          <w:sz w:val="20"/>
          <w:szCs w:val="20"/>
          <w:rtl w:val="0"/>
        </w:rPr>
        <w:t xml:space="preserve">Visual references add modest cost, between $0.23 and $3.64 per model for Conditions C and D combined on the 147-instance subset, but do not consistently improve verification accuracy, so text references with evaluation criteria remain the better default.</w:t>
      </w:r>
    </w:p>
    <w:p w:rsidR="00000000" w:rsidDel="00000000" w:rsidP="00000000" w:rsidRDefault="00000000" w:rsidRPr="00000000" w14:paraId="00000001">
      <w:pPr>
        <w:pStyle w:val="Normal"/>
        <w:jc w:val="both"/>
        <w:rPr>
          <w:rFonts w:ascii="Helvetica Neue" w:cs="Helvetica Neue" w:eastAsia="Helvetica Neue" w:hAnsi="Helvetica Neue"/>
          <w:b w:val="1"/>
          <w:bCs w:val="1"/>
          <w:sz w:val="44"/>
          <w:szCs w:val="44"/>
        </w:rPr>
      </w:pPr>
      <w:r>
        <w:t/>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benefit of text references, where it appears, suggests a mechanism: a text reference converts an open-ended visual judgment ("does this look successful?") into a structured checklist ("does the page show X, Y and Z?"). This aligns with work on prompt engineering showing that decomposing complex judgments into specific sub-criteria improves model accuracy [29]. The text reference operationalizes the task's success criteria, giving the model concrete assertions to verify rather than requiring it to infer what success looks like from the task description alone. The no-criteria ablation (Section 5.2.3) supports this reading directly: references that describe the expected outcome but omit the benchmark's evaluation criteria produce no significant benefit for any model. This mechanism also predicts where the benefit should be small. A verifier that already resolves the task from the screenshot alone has little left for a checklist to supply, which is consistent with Gemini 3.6 Flash holding the highest Condition A accuracy and showing the smallest Condition B gain. On this account the relevant quantity is not whether a reference is present but how much uncertainty it removes.</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6.2 Why Visual References Fail for Some Models</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GPT-4.1 and GPT-4.1 Nano, but not for GPT-4.1 Mini, Claude Sonnet 4 or Gemini 3.6 Flash, points to a difference in how models use a second image rather than a general weakness of visual references.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Times New Roman" w:cs="Gungsuh" w:eastAsia="Gungsuh" w:hAnsi="Times New Roman"/>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GPT-4.1, which falls from 69.2% to 58.5% on the aligned subset, shows the pattern most clearly and is consistent with the surface-anchoring hypothesis. Gemini 3.6 Flash, by contrast, has the strongest no-reference baseline (77.9%) and is essentially unaffected by either reference modality, which suggests it relies more heavily on its own reading of the screenshot than on the supplied reference.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Invest in text reference generation with evaluation criteria.</w:t>
      </w:r>
      <w:r>
        <w:rPr>
          <w:rFonts w:ascii="Times New Roman" w:cs="Times New Roman" w:eastAsia="Times New Roman" w:hAnsi="Times New Roman"/>
          <w:sz w:val="20"/>
          <w:szCs w:val="20"/>
          <w:rtl w:val="0"/>
        </w:rPr>
        <w:t xml:space="preserve"> Text descriptions that include task-specific evaluation criteria improve verification for GPT-4.1 and GPT-4.1 Mini even when generated by an independent model. However, reference quality and generator compatibility matter; references without criteria or from incompatible generators may not help or may hurt performance.</w:t>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w:t>
      </w:r>
      <w:r>
        <w:rPr>
          <w:rFonts w:ascii="Times New Roman" w:cs="Times New Roman" w:eastAsia="Times New Roman" w:hAnsi="Times New Roman"/>
          <w:sz w:val="20"/>
          <w:szCs w:val="20"/>
          <w:rtl w:val="0"/>
        </w:rPr>
        <w:t xml:space="preserve"> Visual references should be tested per-model before deployment: they harm GPT-4.1 and GPT-4.1 Nano, help GPT-4.1 Mini and Claude Sonnet 4, and leave Gemini essentially unchanged.</w:t>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We do not recommend targeting verification at deceptive failures.</w:t>
      </w:r>
      <w:r>
        <w:rPr>
          <w:rFonts w:ascii="Times New Roman" w:cs="Times New Roman" w:eastAsia="Times New Roman" w:hAnsi="Times New Roman"/>
          <w:sz w:val="20"/>
          <w:szCs w:val="20"/>
          <w:rtl w:val="0"/>
        </w:rPr>
        <w:t xml:space="preserve"> Although text references showed their largest absolute gains on instances labelled deceptive under the original labelling, a two-annotator study of that taxonomy returned Cohen's kappa of 0.000 (Section 5.3), so the category cannot currently be identified reliably enough to act on. Establishing a reproducible failure taxonomy is a prerequisite for any such policy.</w:t>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3.6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Replication on other benchmarks and on trajectories from other agent architectures is the single most useful extension of this work, and nothing in our design prevents it: the harness takes any set of final screenshots with ground-truth labels.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w:t>
      </w:r>
      <w:r>
        <w:rPr>
          <w:rFonts w:ascii="Times New Roman" w:cs="Times New Roman" w:eastAsia="Times New Roman" w:hAnsi="Times New Roman"/>
          <w:sz w:val="20"/>
          <w:szCs w:val="20"/>
          <w:rtl w:val="0"/>
        </w:rPr>
        <w:t xml:space="preserve"> The three-way failure taxonomy is not validated. Two annotators independently labelled 100 failures over the obvious / deceptive / partial categories using the interface in iaa_labeling/ and scripts/recompute_iaa.py; Cohen's kappa is 0.000, with observed agreement (0.330) equal to chance, and each annotator agrees with the original single-annotator labels only at chance (+0.016 and -0.030). An earlier two-category pilot (failed / partial) reached kappa 0.116. The categories overlap by construction, since a partially completed task also tends to look plausible, and we did not find a labelling protocol that separates them; a redesigned taxonomy with an explicit precedence rule, or richer context than a single screenshot, is left to future work. We report the failure-type breakdown descriptively and draw no conclusion from it. Separately, verification is judged from a single final screenshot, which precludes detection of multi-step trajectory errors, and confidence is model-self-reported, a noisier elicitation than internal-logit methods [19], [20] that should be interpreted only after the calibration analysis (Section 5.5).</w:t>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w:t>
      </w:r>
      <w:r>
        <w:rPr>
          <w:rFonts w:ascii="Times New Roman" w:cs="Times New Roman" w:eastAsia="Times New Roman" w:hAnsi="Times New Roman"/>
          <w:sz w:val="20"/>
          <w:szCs w:val="20"/>
          <w:rtl w:val="0"/>
        </w:rPr>
        <w:t xml:space="preserve"> We use paired McNemar tests on jointly valid instances and percentile bootstrap confidence intervals (2,000 resamples). Where b+c &lt; 25 we use an exact binomial test rather than the asymptotic approximation. We apply both Bonferroni and Holm-Bonferroni multiple-comparison correction across the full 30-test family (5 models × 6 condition pairs) at family-wise α=0.05; 6 of 30 tests are significant under both corrections (Appendix I, results/revision_bonferroni.csv). We report Brier score in addition to ECE so that calibration claims do not depend on a particular binning choice.</w:t>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verification for web agents. Across 909 VisualWebArena trajectories, four reference conditions, and five frontier closed-API models from three families, three findings hold in this setting: text references improve verification substantially for four of the five verifiers and negligibly for the fifth; visual references are model-dependent on the 147-instance subset, degrading two verifiers, improving two, and leaving one unchanged; and adding a reference screenshot on top of a text reference helps only one model.</w:t>
      </w:r>
      <w:r>
        <w:rPr>
          <w:rFonts w:ascii="Times New Roman" w:cs="Times New Roman" w:eastAsia="Times New Roman" w:hAnsi="Times New Roman"/>
          <w:b w:val="1"/>
          <w:bCs w:val="1"/>
          <w:sz w:val="20"/>
          <w:szCs w:val="20"/>
          <w:rtl w:val="0"/>
        </w:rPr>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Sonnet 4) and GPT-4.1 Mini's from 63.8% to 84.4%. The benefit is not universal: Gemini 3.6 Flash gains only 0.9pp, which is not significant, and it also has the strongest no-reference baseline.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[13]; (2) inclusion of open-weight verifiers and a non-LLM-generated text-reference source to rule out reference-generation-circularity effects; (3) iterative self-reflection [15]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All verification runs reported here were executed between June and September 2026 against the model versions pinned in config.py, and each result row records the model_version string the provider returned. An archived, versioned snapshot of the repository at the state of this submission is deposited with a DOI, and the repository README records it. Repository: see the project's public code release listed in </w:t>
      </w:r>
      <w:r>
        <w:rPr>
          <w:rFonts w:ascii="Times New Roman" w:cs="Times New Roman" w:eastAsia="Times New Roman" w:hAnsi="Times New Roman"/>
          <w:color w:val="188038"/>
          <w:sz w:val="20"/>
          <w:szCs w:val="20"/>
          <w:rtl w:val="0"/>
        </w:rPr>
        <w:t>CITATION.cff</w:t>
      </w:r>
      <w:r>
        <w:rPr>
          <w:rFonts w:ascii="Times New Roman" w:cs="Times New Roman" w:eastAsia="Times New Roman" w:hAnsi="Times New Roman"/>
          <w:sz w:val="20"/>
          <w:szCs w:val="20"/>
          <w:rtl w:val="0"/>
        </w:rPr>
        <w:t xml:space="preserve"> (https://github.com/shravaniparsi/agentic-ui-test).</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Figures 1 to 5 and Figure 7 are regenerated by scripts/make_manuscript_figures.py; the threshold-policy figure (Figure 8) is produced by scripts/threshold_policy_analysis.py; the reliability diagrams for all four conditions (Figure 6) are produced by scripts/revision_analysis.py. All figures are included as PNG in figures/, and the threshold-policy and reliability figures additionally as PDF.</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Reported statistics: the supplement tables (paired tests, cross-generator, no-criteria, per-condition error rates) and the matched task-ID lists are produced by a single command, python3 scripts/recompute_final.py, and saved as results/S1_paired_tests.csv, results/S2_cross_generator_claude.csv, results/S2b_nocriteria.csv, results/T1_and_S3_error_rates.csv and results/S1_task_ids/. Revision-only artifacts (aligned-subset metrics, 15-bin equal-mass ECE, Brier scores, confidence histograms, cost and latency, Bonferroni and Holm tables) are produced by python3 scripts/revision_analysis.py and python3 scripts/full_revision_analysis.py, and saved as results/revision_*.csv and results/revision_summary.md. The inter-annotator agreement analysis is produced by python3 scripts/recompute_iaa.py and saved as results/iaa_kappa_3cat_human.txt.</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Determine whether the task was completed</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successfully based on how the agent's final state compares with the reference.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against the expected outcome description above.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A.4 Text-Reference Generation Prompt</w:t>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references are produced by GPT-4.1 Nano from two inputs, the task description and the benchmark's evaluation criteria, with this prompt. The no-criteria ablation in Section 5.2.3 uses the same prompt with the evaluation criteria line removed, and the cross-generator condition in Section 5.2.2 uses it unchanged with Claude Sonnet 4 as the generator.</w:t>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pPr>
        <w:jc w:val="both"/>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You are helping evaluate web automation agents. Given the following web task description and the evaluation criteria used by the benchmark, produce a 1-3 sentence natural-language description of what the final web page should look like if the task was completed successfully. Focus on what semantic content / state should be visible. Do NOT describe the layout (colors, fonts, positions). Do NOT include 'In conclusion' or preamble. Output ONLY the description.
Task: {task_text}
Evaluation criteria: {eval_criteria}
Expected outcome description:</w:t>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For the task “Find me the cheapest blue kayak on this site” (vwa_classifieds_0) this yields: “The final web page should display detailed information about the cheapest blue kayak available, including its price, description, and images, with the URL indicating the specific item page.” All 909 instances have a reference; none is empty.</w:t>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2E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2E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2E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2E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2E8">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E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2E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60.0" w:type="dxa"/>
              <w:bottom w:w="100.0" w:type="dxa"/>
              <w:right w:w="60.0" w:type="dxa"/>
            </w:tcMar>
            <w:vAlign w:val="top"/>
          </w:tcPr>
          <w:p w:rsidR="00000000" w:rsidDel="00000000" w:rsidP="00000000" w:rsidRDefault="00000000" w:rsidRPr="00000000" w14:paraId="000002E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60.0" w:type="dxa"/>
              <w:bottom w:w="100.0" w:type="dxa"/>
              <w:right w:w="60.0" w:type="dxa"/>
            </w:tcMar>
            <w:vAlign w:val="top"/>
          </w:tcPr>
          <w:p w:rsidR="00000000" w:rsidDel="00000000" w:rsidP="00000000" w:rsidRDefault="00000000" w:rsidRPr="00000000" w14:paraId="000002E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60.0" w:type="dxa"/>
              <w:bottom w:w="100.0" w:type="dxa"/>
              <w:right w:w="60.0" w:type="dxa"/>
            </w:tcMar>
            <w:vAlign w:val="top"/>
          </w:tcPr>
          <w:p w:rsidR="00000000" w:rsidDel="00000000" w:rsidP="00000000" w:rsidRDefault="00000000" w:rsidRPr="00000000" w14:paraId="000002E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E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2E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60.0" w:type="dxa"/>
              <w:bottom w:w="100.0" w:type="dxa"/>
              <w:right w:w="60.0" w:type="dxa"/>
            </w:tcMar>
            <w:vAlign w:val="top"/>
          </w:tcPr>
          <w:p w:rsidR="00000000" w:rsidDel="00000000" w:rsidP="00000000" w:rsidRDefault="00000000" w:rsidRPr="00000000" w14:paraId="000002F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60.0" w:type="dxa"/>
              <w:bottom w:w="100.0" w:type="dxa"/>
              <w:right w:w="60.0" w:type="dxa"/>
            </w:tcMar>
            <w:vAlign w:val="top"/>
          </w:tcPr>
          <w:p w:rsidR="00000000" w:rsidDel="00000000" w:rsidP="00000000" w:rsidRDefault="00000000" w:rsidRPr="00000000" w14:paraId="000002F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60.0" w:type="dxa"/>
              <w:bottom w:w="100.0" w:type="dxa"/>
              <w:right w:w="60.0" w:type="dxa"/>
            </w:tcMar>
            <w:vAlign w:val="top"/>
          </w:tcPr>
          <w:p w:rsidR="00000000" w:rsidDel="00000000" w:rsidP="00000000" w:rsidRDefault="00000000" w:rsidRPr="00000000" w14:paraId="000002F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2F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60.0" w:type="dxa"/>
              <w:bottom w:w="100.0" w:type="dxa"/>
              <w:right w:w="60.0" w:type="dxa"/>
            </w:tcMar>
            <w:vAlign w:val="top"/>
          </w:tcPr>
          <w:p w:rsidR="00000000" w:rsidDel="00000000" w:rsidP="00000000" w:rsidRDefault="00000000" w:rsidRPr="00000000" w14:paraId="000002F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60.0" w:type="dxa"/>
              <w:bottom w:w="100.0" w:type="dxa"/>
              <w:right w:w="60.0" w:type="dxa"/>
            </w:tcMar>
            <w:vAlign w:val="top"/>
          </w:tcPr>
          <w:p w:rsidR="00000000" w:rsidDel="00000000" w:rsidP="00000000" w:rsidRDefault="00000000" w:rsidRPr="00000000" w14:paraId="000002F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60.0" w:type="dxa"/>
              <w:bottom w:w="100.0" w:type="dxa"/>
              <w:right w:w="60.0" w:type="dxa"/>
            </w:tcMar>
            <w:vAlign w:val="top"/>
          </w:tcPr>
          <w:p w:rsidR="00000000" w:rsidDel="00000000" w:rsidP="00000000" w:rsidRDefault="00000000" w:rsidRPr="00000000" w14:paraId="000002F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2F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60.0" w:type="dxa"/>
              <w:bottom w:w="100.0" w:type="dxa"/>
              <w:right w:w="60.0" w:type="dxa"/>
            </w:tcMar>
            <w:vAlign w:val="top"/>
          </w:tcPr>
          <w:p w:rsidR="00000000" w:rsidDel="00000000" w:rsidP="00000000" w:rsidRDefault="00000000" w:rsidRPr="00000000" w14:paraId="000002F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60.0" w:type="dxa"/>
              <w:bottom w:w="100.0" w:type="dxa"/>
              <w:right w:w="60.0" w:type="dxa"/>
            </w:tcMar>
            <w:vAlign w:val="top"/>
          </w:tcPr>
          <w:p w:rsidR="00000000" w:rsidDel="00000000" w:rsidP="00000000" w:rsidRDefault="00000000" w:rsidRPr="00000000" w14:paraId="000002F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60.0" w:type="dxa"/>
              <w:bottom w:w="100.0" w:type="dxa"/>
              <w:right w:w="60.0" w:type="dxa"/>
            </w:tcMar>
            <w:vAlign w:val="top"/>
          </w:tcPr>
          <w:p w:rsidR="00000000" w:rsidDel="00000000" w:rsidP="00000000" w:rsidRDefault="00000000" w:rsidRPr="00000000" w14:paraId="000002F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2F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60.0" w:type="dxa"/>
              <w:bottom w:w="100.0" w:type="dxa"/>
              <w:right w:w="60.0" w:type="dxa"/>
            </w:tcMar>
            <w:vAlign w:val="top"/>
          </w:tcPr>
          <w:p w:rsidR="00000000" w:rsidDel="00000000" w:rsidP="00000000" w:rsidRDefault="00000000" w:rsidRPr="00000000" w14:paraId="000002F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152</w:t>
            </w:r>
          </w:p>
        </w:tc>
        <w:tc>
          <w:tcPr>
            <w:shd w:fill="auto" w:val="clear"/>
            <w:tcMar>
              <w:top w:w="100.0" w:type="dxa"/>
              <w:left w:w="60.0" w:type="dxa"/>
              <w:bottom w:w="100.0" w:type="dxa"/>
              <w:right w:w="60.0" w:type="dxa"/>
            </w:tcMar>
            <w:vAlign w:val="top"/>
          </w:tcPr>
          <w:p w:rsidR="00000000" w:rsidDel="00000000" w:rsidP="00000000" w:rsidRDefault="00000000" w:rsidRPr="00000000" w14:paraId="0000030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60.0" w:type="dxa"/>
              <w:bottom w:w="100.0" w:type="dxa"/>
              <w:right w:w="60.0" w:type="dxa"/>
            </w:tcMar>
            <w:vAlign w:val="top"/>
          </w:tcPr>
          <w:p w:rsidR="00000000" w:rsidDel="00000000" w:rsidP="00000000" w:rsidRDefault="00000000" w:rsidRPr="00000000" w14:paraId="0000030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0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0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0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0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0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0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0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60.0" w:type="dxa"/>
              <w:bottom w:w="100.0" w:type="dxa"/>
              <w:right w:w="60.0" w:type="dxa"/>
            </w:tcMar>
            <w:vAlign w:val="top"/>
          </w:tcPr>
          <w:p w:rsidR="00000000" w:rsidDel="00000000" w:rsidP="00000000" w:rsidRDefault="00000000" w:rsidRPr="00000000" w14:paraId="0000030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60.0" w:type="dxa"/>
              <w:bottom w:w="100.0" w:type="dxa"/>
              <w:right w:w="60.0" w:type="dxa"/>
            </w:tcMar>
            <w:vAlign w:val="top"/>
          </w:tcPr>
          <w:p w:rsidR="00000000" w:rsidDel="00000000" w:rsidP="00000000" w:rsidRDefault="00000000" w:rsidRPr="00000000" w14:paraId="0000030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60.0" w:type="dxa"/>
              <w:bottom w:w="100.0" w:type="dxa"/>
              <w:right w:w="60.0" w:type="dxa"/>
            </w:tcMar>
            <w:vAlign w:val="top"/>
          </w:tcPr>
          <w:p w:rsidR="00000000" w:rsidDel="00000000" w:rsidP="00000000" w:rsidRDefault="00000000" w:rsidRPr="00000000" w14:paraId="0000030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0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0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60.0" w:type="dxa"/>
              <w:bottom w:w="100.0" w:type="dxa"/>
              <w:right w:w="60.0" w:type="dxa"/>
            </w:tcMar>
            <w:vAlign w:val="top"/>
          </w:tcPr>
          <w:p w:rsidR="00000000" w:rsidDel="00000000" w:rsidP="00000000" w:rsidRDefault="00000000" w:rsidRPr="00000000" w14:paraId="0000030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60.0" w:type="dxa"/>
              <w:bottom w:w="100.0" w:type="dxa"/>
              <w:right w:w="60.0" w:type="dxa"/>
            </w:tcMar>
            <w:vAlign w:val="top"/>
          </w:tcPr>
          <w:p w:rsidR="00000000" w:rsidDel="00000000" w:rsidP="00000000" w:rsidRDefault="00000000" w:rsidRPr="00000000" w14:paraId="0000031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60.0" w:type="dxa"/>
              <w:bottom w:w="100.0" w:type="dxa"/>
              <w:right w:w="60.0" w:type="dxa"/>
            </w:tcMar>
            <w:vAlign w:val="top"/>
          </w:tcPr>
          <w:p w:rsidR="00000000" w:rsidDel="00000000" w:rsidP="00000000" w:rsidRDefault="00000000" w:rsidRPr="00000000" w14:paraId="0000031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1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60.0" w:type="dxa"/>
              <w:bottom w:w="100.0" w:type="dxa"/>
              <w:right w:w="60.0" w:type="dxa"/>
            </w:tcMar>
            <w:vAlign w:val="top"/>
          </w:tcPr>
          <w:p w:rsidR="00000000" w:rsidDel="00000000" w:rsidP="00000000" w:rsidRDefault="00000000" w:rsidRPr="00000000" w14:paraId="0000031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60.0" w:type="dxa"/>
              <w:bottom w:w="100.0" w:type="dxa"/>
              <w:right w:w="60.0" w:type="dxa"/>
            </w:tcMar>
            <w:vAlign w:val="top"/>
          </w:tcPr>
          <w:p w:rsidR="00000000" w:rsidDel="00000000" w:rsidP="00000000" w:rsidRDefault="00000000" w:rsidRPr="00000000" w14:paraId="0000031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60.0" w:type="dxa"/>
              <w:bottom w:w="100.0" w:type="dxa"/>
              <w:right w:w="60.0" w:type="dxa"/>
            </w:tcMar>
            <w:vAlign w:val="top"/>
          </w:tcPr>
          <w:p w:rsidR="00000000" w:rsidDel="00000000" w:rsidP="00000000" w:rsidRDefault="00000000" w:rsidRPr="00000000" w14:paraId="0000031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1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60.0" w:type="dxa"/>
              <w:bottom w:w="100.0" w:type="dxa"/>
              <w:right w:w="60.0" w:type="dxa"/>
            </w:tcMar>
            <w:vAlign w:val="top"/>
          </w:tcPr>
          <w:p w:rsidR="00000000" w:rsidDel="00000000" w:rsidP="00000000" w:rsidRDefault="00000000" w:rsidRPr="00000000" w14:paraId="0000031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60.0" w:type="dxa"/>
              <w:bottom w:w="100.0" w:type="dxa"/>
              <w:right w:w="60.0" w:type="dxa"/>
            </w:tcMar>
            <w:vAlign w:val="top"/>
          </w:tcPr>
          <w:p w:rsidR="00000000" w:rsidDel="00000000" w:rsidP="00000000" w:rsidRDefault="00000000" w:rsidRPr="00000000" w14:paraId="0000031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60.0" w:type="dxa"/>
              <w:bottom w:w="100.0" w:type="dxa"/>
              <w:right w:w="60.0" w:type="dxa"/>
            </w:tcMar>
            <w:vAlign w:val="top"/>
          </w:tcPr>
          <w:p w:rsidR="00000000" w:rsidDel="00000000" w:rsidP="00000000" w:rsidRDefault="00000000" w:rsidRPr="00000000" w14:paraId="0000031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1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60.0" w:type="dxa"/>
              <w:bottom w:w="100.0" w:type="dxa"/>
              <w:right w:w="60.0" w:type="dxa"/>
            </w:tcMar>
            <w:vAlign w:val="top"/>
          </w:tcPr>
          <w:p w:rsidR="00000000" w:rsidDel="00000000" w:rsidP="00000000" w:rsidRDefault="00000000" w:rsidRPr="00000000" w14:paraId="0000031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60.0" w:type="dxa"/>
              <w:bottom w:w="100.0" w:type="dxa"/>
              <w:right w:w="60.0" w:type="dxa"/>
            </w:tcMar>
            <w:vAlign w:val="top"/>
          </w:tcPr>
          <w:p w:rsidR="00000000" w:rsidDel="00000000" w:rsidP="00000000" w:rsidRDefault="00000000" w:rsidRPr="00000000" w14:paraId="0000031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614</w:t>
            </w:r>
          </w:p>
        </w:tc>
        <w:tc>
          <w:tcPr>
            <w:shd w:fill="auto" w:val="clear"/>
            <w:tcMar>
              <w:top w:w="100.0" w:type="dxa"/>
              <w:left w:w="60.0" w:type="dxa"/>
              <w:bottom w:w="100.0" w:type="dxa"/>
              <w:right w:w="60.0" w:type="dxa"/>
            </w:tcMar>
            <w:vAlign w:val="top"/>
          </w:tcPr>
          <w:p w:rsidR="00000000" w:rsidDel="00000000" w:rsidP="00000000" w:rsidRDefault="00000000" w:rsidRPr="00000000" w14:paraId="0000032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132–147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2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2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2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2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2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2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2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60.0" w:type="dxa"/>
              <w:bottom w:w="100.0" w:type="dxa"/>
              <w:right w:w="60.0" w:type="dxa"/>
            </w:tcMar>
            <w:vAlign w:val="top"/>
          </w:tcPr>
          <w:p w:rsidR="00000000" w:rsidDel="00000000" w:rsidP="00000000" w:rsidRDefault="00000000" w:rsidRPr="00000000" w14:paraId="0000032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60.0" w:type="dxa"/>
              <w:bottom w:w="100.0" w:type="dxa"/>
              <w:right w:w="60.0" w:type="dxa"/>
            </w:tcMar>
            <w:vAlign w:val="top"/>
          </w:tcPr>
          <w:p w:rsidR="00000000" w:rsidDel="00000000" w:rsidP="00000000" w:rsidRDefault="00000000" w:rsidRPr="00000000" w14:paraId="0000032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60.0" w:type="dxa"/>
              <w:bottom w:w="100.0" w:type="dxa"/>
              <w:right w:w="60.0" w:type="dxa"/>
            </w:tcMar>
            <w:vAlign w:val="top"/>
          </w:tcPr>
          <w:p w:rsidR="00000000" w:rsidDel="00000000" w:rsidP="00000000" w:rsidRDefault="00000000" w:rsidRPr="00000000" w14:paraId="0000032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2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2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c>
          <w:tcPr>
            <w:shd w:fill="auto" w:val="clear"/>
            <w:tcMar>
              <w:top w:w="100.0" w:type="dxa"/>
              <w:left w:w="60.0" w:type="dxa"/>
              <w:bottom w:w="100.0" w:type="dxa"/>
              <w:right w:w="60.0" w:type="dxa"/>
            </w:tcMar>
            <w:vAlign w:val="top"/>
          </w:tcPr>
          <w:p w:rsidR="00000000" w:rsidDel="00000000" w:rsidP="00000000" w:rsidRDefault="00000000" w:rsidRPr="00000000" w14:paraId="0000032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60.0" w:type="dxa"/>
              <w:bottom w:w="100.0" w:type="dxa"/>
              <w:right w:w="60.0" w:type="dxa"/>
            </w:tcMar>
            <w:vAlign w:val="top"/>
          </w:tcPr>
          <w:p w:rsidR="00000000" w:rsidDel="00000000" w:rsidP="00000000" w:rsidRDefault="00000000" w:rsidRPr="00000000" w14:paraId="0000032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w:t>
            </w:r>
          </w:p>
        </w:tc>
        <w:tc>
          <w:tcPr>
            <w:shd w:fill="auto" w:val="clear"/>
            <w:tcMar>
              <w:top w:w="100.0" w:type="dxa"/>
              <w:left w:w="60.0" w:type="dxa"/>
              <w:bottom w:w="100.0" w:type="dxa"/>
              <w:right w:w="60.0" w:type="dxa"/>
            </w:tcMar>
            <w:vAlign w:val="top"/>
          </w:tcPr>
          <w:p w:rsidR="00000000" w:rsidDel="00000000" w:rsidP="00000000" w:rsidRDefault="00000000" w:rsidRPr="00000000" w14:paraId="0000033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3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60.0" w:type="dxa"/>
              <w:bottom w:w="100.0" w:type="dxa"/>
              <w:right w:w="60.0" w:type="dxa"/>
            </w:tcMar>
            <w:vAlign w:val="top"/>
          </w:tcPr>
          <w:p w:rsidR="00000000" w:rsidDel="00000000" w:rsidP="00000000" w:rsidRDefault="00000000" w:rsidRPr="00000000" w14:paraId="0000033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w:t>
            </w:r>
          </w:p>
        </w:tc>
        <w:tc>
          <w:tcPr>
            <w:shd w:fill="auto" w:val="clear"/>
            <w:tcMar>
              <w:top w:w="100.0" w:type="dxa"/>
              <w:left w:w="60.0" w:type="dxa"/>
              <w:bottom w:w="100.0" w:type="dxa"/>
              <w:right w:w="60.0" w:type="dxa"/>
            </w:tcMar>
            <w:vAlign w:val="top"/>
          </w:tcPr>
          <w:p w:rsidR="00000000" w:rsidDel="00000000" w:rsidP="00000000" w:rsidRDefault="00000000" w:rsidRPr="00000000" w14:paraId="0000033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60.0" w:type="dxa"/>
              <w:bottom w:w="100.0" w:type="dxa"/>
              <w:right w:w="60.0" w:type="dxa"/>
            </w:tcMar>
            <w:vAlign w:val="top"/>
          </w:tcPr>
          <w:p w:rsidR="00000000" w:rsidDel="00000000" w:rsidP="00000000" w:rsidRDefault="00000000" w:rsidRPr="00000000" w14:paraId="0000033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3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3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shd w:fill="auto" w:val="clear"/>
            <w:tcMar>
              <w:top w:w="100.0" w:type="dxa"/>
              <w:left w:w="60.0" w:type="dxa"/>
              <w:bottom w:w="100.0" w:type="dxa"/>
              <w:right w:w="60.0" w:type="dxa"/>
            </w:tcMar>
            <w:vAlign w:val="top"/>
          </w:tcPr>
          <w:p w:rsidR="00000000" w:rsidDel="00000000" w:rsidP="00000000" w:rsidRDefault="00000000" w:rsidRPr="00000000" w14:paraId="0000033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60.0" w:type="dxa"/>
              <w:bottom w:w="100.0" w:type="dxa"/>
              <w:right w:w="60.0" w:type="dxa"/>
            </w:tcMar>
            <w:vAlign w:val="top"/>
          </w:tcPr>
          <w:p w:rsidR="00000000" w:rsidDel="00000000" w:rsidP="00000000" w:rsidRDefault="00000000" w:rsidRPr="00000000" w14:paraId="0000033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3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3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60.0" w:type="dxa"/>
              <w:bottom w:w="100.0" w:type="dxa"/>
              <w:right w:w="60.0" w:type="dxa"/>
            </w:tcMar>
            <w:vAlign w:val="top"/>
          </w:tcPr>
          <w:p w:rsidR="00000000" w:rsidDel="00000000" w:rsidP="00000000" w:rsidRDefault="00000000" w:rsidRPr="00000000" w14:paraId="0000033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60.0" w:type="dxa"/>
              <w:bottom w:w="100.0" w:type="dxa"/>
              <w:right w:w="60.0" w:type="dxa"/>
            </w:tcMar>
            <w:vAlign w:val="top"/>
          </w:tcPr>
          <w:p w:rsidR="00000000" w:rsidDel="00000000" w:rsidP="00000000" w:rsidRDefault="00000000" w:rsidRPr="00000000" w14:paraId="0000033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133–147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40" w:lineRule="auto"/>
        <w:jc w:val="center"/>
        <w:rPr/>
      </w:pPr>
      <w:r>
        <w:rPr/>
        <w:drawing>
          <wp:inline distB="0" distT="0" distL="114300" distR="114300">
            <wp:extent cx="2743200" cy="3241963"/>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241963"/>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4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4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4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4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4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4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4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c>
          <w:tcPr>
            <w:shd w:fill="auto" w:val="clear"/>
            <w:tcMar>
              <w:top w:w="100.0" w:type="dxa"/>
              <w:left w:w="60.0" w:type="dxa"/>
              <w:bottom w:w="100.0" w:type="dxa"/>
              <w:right w:w="60.0" w:type="dxa"/>
            </w:tcMar>
            <w:vAlign w:val="top"/>
          </w:tcPr>
          <w:p w:rsidR="00000000" w:rsidDel="00000000" w:rsidP="00000000" w:rsidRDefault="00000000" w:rsidRPr="00000000" w14:paraId="0000034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60.0" w:type="dxa"/>
              <w:bottom w:w="100.0" w:type="dxa"/>
              <w:right w:w="60.0" w:type="dxa"/>
            </w:tcMar>
            <w:vAlign w:val="top"/>
          </w:tcPr>
          <w:p w:rsidR="00000000" w:rsidDel="00000000" w:rsidP="00000000" w:rsidRDefault="00000000" w:rsidRPr="00000000" w14:paraId="0000034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60.0" w:type="dxa"/>
              <w:bottom w:w="100.0" w:type="dxa"/>
              <w:right w:w="60.0" w:type="dxa"/>
            </w:tcMar>
            <w:vAlign w:val="top"/>
          </w:tcPr>
          <w:p w:rsidR="00000000" w:rsidDel="00000000" w:rsidP="00000000" w:rsidRDefault="00000000" w:rsidRPr="00000000" w14:paraId="0000034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4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4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60.0" w:type="dxa"/>
              <w:bottom w:w="100.0" w:type="dxa"/>
              <w:right w:w="60.0" w:type="dxa"/>
            </w:tcMar>
            <w:vAlign w:val="top"/>
          </w:tcPr>
          <w:p w:rsidR="00000000" w:rsidDel="00000000" w:rsidP="00000000" w:rsidRDefault="00000000" w:rsidRPr="00000000" w14:paraId="0000034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w:t>
            </w:r>
          </w:p>
        </w:tc>
        <w:tc>
          <w:tcPr>
            <w:shd w:fill="auto" w:val="clear"/>
            <w:tcMar>
              <w:top w:w="100.0" w:type="dxa"/>
              <w:left w:w="60.0" w:type="dxa"/>
              <w:bottom w:w="100.0" w:type="dxa"/>
              <w:right w:w="60.0" w:type="dxa"/>
            </w:tcMar>
            <w:vAlign w:val="top"/>
          </w:tcPr>
          <w:p w:rsidR="00000000" w:rsidDel="00000000" w:rsidP="00000000" w:rsidRDefault="00000000" w:rsidRPr="00000000" w14:paraId="0000035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97</w:t>
            </w:r>
          </w:p>
        </w:tc>
        <w:tc>
          <w:tcPr>
            <w:shd w:fill="auto" w:val="clear"/>
            <w:tcMar>
              <w:top w:w="100.0" w:type="dxa"/>
              <w:left w:w="60.0" w:type="dxa"/>
              <w:bottom w:w="100.0" w:type="dxa"/>
              <w:right w:w="60.0" w:type="dxa"/>
            </w:tcMar>
            <w:vAlign w:val="top"/>
          </w:tcPr>
          <w:p w:rsidR="00000000" w:rsidDel="00000000" w:rsidP="00000000" w:rsidRDefault="00000000" w:rsidRPr="00000000" w14:paraId="0000035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5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60.0" w:type="dxa"/>
              <w:bottom w:w="100.0" w:type="dxa"/>
              <w:right w:w="60.0" w:type="dxa"/>
            </w:tcMar>
            <w:vAlign w:val="top"/>
          </w:tcPr>
          <w:p w:rsidR="00000000" w:rsidDel="00000000" w:rsidP="00000000" w:rsidRDefault="00000000" w:rsidRPr="00000000" w14:paraId="0000035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c>
          <w:tcPr>
            <w:shd w:fill="auto" w:val="clear"/>
            <w:tcMar>
              <w:top w:w="100.0" w:type="dxa"/>
              <w:left w:w="60.0" w:type="dxa"/>
              <w:bottom w:w="100.0" w:type="dxa"/>
              <w:right w:w="60.0" w:type="dxa"/>
            </w:tcMar>
            <w:vAlign w:val="top"/>
          </w:tcPr>
          <w:p w:rsidR="00000000" w:rsidDel="00000000" w:rsidP="00000000" w:rsidRDefault="00000000" w:rsidRPr="00000000" w14:paraId="0000035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w:t>
            </w:r>
          </w:p>
        </w:tc>
        <w:tc>
          <w:tcPr>
            <w:shd w:fill="auto" w:val="clear"/>
            <w:tcMar>
              <w:top w:w="100.0" w:type="dxa"/>
              <w:left w:w="60.0" w:type="dxa"/>
              <w:bottom w:w="100.0" w:type="dxa"/>
              <w:right w:w="60.0" w:type="dxa"/>
            </w:tcMar>
            <w:vAlign w:val="top"/>
          </w:tcPr>
          <w:p w:rsidR="00000000" w:rsidDel="00000000" w:rsidP="00000000" w:rsidRDefault="00000000" w:rsidRPr="00000000" w14:paraId="0000035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5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60.0" w:type="dxa"/>
              <w:bottom w:w="100.0" w:type="dxa"/>
              <w:right w:w="60.0" w:type="dxa"/>
            </w:tcMar>
            <w:vAlign w:val="top"/>
          </w:tcPr>
          <w:p w:rsidR="00000000" w:rsidDel="00000000" w:rsidP="00000000" w:rsidRDefault="00000000" w:rsidRPr="00000000" w14:paraId="0000035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60.0" w:type="dxa"/>
              <w:bottom w:w="100.0" w:type="dxa"/>
              <w:right w:w="60.0" w:type="dxa"/>
            </w:tcMar>
            <w:vAlign w:val="top"/>
          </w:tcPr>
          <w:p w:rsidR="00000000" w:rsidDel="00000000" w:rsidP="00000000" w:rsidRDefault="00000000" w:rsidRPr="00000000" w14:paraId="0000035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60.0" w:type="dxa"/>
              <w:bottom w:w="100.0" w:type="dxa"/>
              <w:right w:w="60.0" w:type="dxa"/>
            </w:tcMar>
            <w:vAlign w:val="top"/>
          </w:tcPr>
          <w:p w:rsidR="00000000" w:rsidDel="00000000" w:rsidP="00000000" w:rsidRDefault="00000000" w:rsidRPr="00000000" w14:paraId="0000035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5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5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5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60.0" w:type="dxa"/>
              <w:bottom w:w="100.0" w:type="dxa"/>
              <w:right w:w="60.0" w:type="dxa"/>
            </w:tcMar>
            <w:vAlign w:val="top"/>
          </w:tcPr>
          <w:p w:rsidR="00000000" w:rsidDel="00000000" w:rsidP="00000000" w:rsidRDefault="00000000" w:rsidRPr="00000000" w14:paraId="0000036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0"/>
        <w:gridCol w:w="1000"/>
        <w:gridCol w:w="1120"/>
        <w:gridCol w:w="96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64">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65">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Shopping</w:t>
            </w:r>
          </w:p>
        </w:tc>
        <w:tc>
          <w:tcPr>
            <w:shd w:fill="auto" w:val="clear"/>
            <w:tcMar>
              <w:top w:w="100.0" w:type="dxa"/>
              <w:left w:w="60.0" w:type="dxa"/>
              <w:bottom w:w="100.0" w:type="dxa"/>
              <w:right w:w="60.0" w:type="dxa"/>
            </w:tcMar>
            <w:vAlign w:val="top"/>
          </w:tcPr>
          <w:p w:rsidR="00000000" w:rsidDel="00000000" w:rsidP="00000000" w:rsidRDefault="00000000" w:rsidRPr="00000000" w14:paraId="00000366">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Classifieds</w:t>
            </w:r>
          </w:p>
        </w:tc>
        <w:tc>
          <w:tcPr>
            <w:shd w:fill="auto" w:val="clear"/>
            <w:tcMar>
              <w:top w:w="100.0" w:type="dxa"/>
              <w:left w:w="60.0" w:type="dxa"/>
              <w:bottom w:w="100.0" w:type="dxa"/>
              <w:right w:w="60.0" w:type="dxa"/>
            </w:tcMar>
            <w:vAlign w:val="top"/>
          </w:tcPr>
          <w:p w:rsidR="00000000" w:rsidDel="00000000" w:rsidP="00000000" w:rsidRDefault="00000000" w:rsidRPr="00000000" w14:paraId="00000367">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Reddit</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68">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69">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.805 (371/461)</w:t>
            </w:r>
          </w:p>
        </w:tc>
        <w:tc>
          <w:tcPr>
            <w:shd w:fill="auto" w:val="clear"/>
            <w:tcMar>
              <w:top w:w="100.0" w:type="dxa"/>
              <w:left w:w="60.0" w:type="dxa"/>
              <w:bottom w:w="100.0" w:type="dxa"/>
              <w:right w:w="60.0" w:type="dxa"/>
            </w:tcMar>
            <w:vAlign w:val="top"/>
          </w:tcPr>
          <w:p w:rsidR="00000000" w:rsidDel="00000000" w:rsidP="00000000" w:rsidRDefault="00000000" w:rsidRPr="00000000" w14:paraId="0000036A">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.904 (208/230)</w:t>
            </w:r>
          </w:p>
        </w:tc>
        <w:tc>
          <w:tcPr>
            <w:shd w:fill="auto" w:val="clear"/>
            <w:tcMar>
              <w:top w:w="100.0" w:type="dxa"/>
              <w:left w:w="60.0" w:type="dxa"/>
              <w:bottom w:w="100.0" w:type="dxa"/>
              <w:right w:w="60.0" w:type="dxa"/>
            </w:tcMar>
            <w:vAlign w:val="top"/>
          </w:tcPr>
          <w:p w:rsidR="00000000" w:rsidDel="00000000" w:rsidP="00000000" w:rsidRDefault="00000000" w:rsidRPr="00000000" w14:paraId="0000036B">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.832 (173/208)</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6C">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6D">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.826 (385/466)</w:t>
            </w:r>
          </w:p>
        </w:tc>
        <w:tc>
          <w:tcPr>
            <w:shd w:fill="auto" w:val="clear"/>
            <w:tcMar>
              <w:top w:w="100.0" w:type="dxa"/>
              <w:left w:w="60.0" w:type="dxa"/>
              <w:bottom w:w="100.0" w:type="dxa"/>
              <w:right w:w="60.0" w:type="dxa"/>
            </w:tcMar>
            <w:vAlign w:val="top"/>
          </w:tcPr>
          <w:p w:rsidR="00000000" w:rsidDel="00000000" w:rsidP="00000000" w:rsidRDefault="00000000" w:rsidRPr="00000000" w14:paraId="0000036E">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.828 (192/232)</w:t>
            </w:r>
          </w:p>
        </w:tc>
        <w:tc>
          <w:tcPr>
            <w:shd w:fill="auto" w:val="clear"/>
            <w:tcMar>
              <w:top w:w="100.0" w:type="dxa"/>
              <w:left w:w="60.0" w:type="dxa"/>
              <w:bottom w:w="100.0" w:type="dxa"/>
              <w:right w:w="60.0" w:type="dxa"/>
            </w:tcMar>
            <w:vAlign w:val="top"/>
          </w:tcPr>
          <w:p w:rsidR="00000000" w:rsidDel="00000000" w:rsidP="00000000" w:rsidRDefault="00000000" w:rsidRPr="00000000" w14:paraId="0000036F">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.900 (189/210)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0">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71">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.815 (380/466)</w:t>
            </w:r>
          </w:p>
        </w:tc>
        <w:tc>
          <w:tcPr>
            <w:shd w:fill="auto" w:val="clear"/>
            <w:tcMar>
              <w:top w:w="100.0" w:type="dxa"/>
              <w:left w:w="60.0" w:type="dxa"/>
              <w:bottom w:w="100.0" w:type="dxa"/>
              <w:right w:w="60.0" w:type="dxa"/>
            </w:tcMar>
            <w:vAlign w:val="top"/>
          </w:tcPr>
          <w:p w:rsidR="00000000" w:rsidDel="00000000" w:rsidP="00000000" w:rsidRDefault="00000000" w:rsidRPr="00000000" w14:paraId="00000372">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.790 (184/233)</w:t>
            </w:r>
          </w:p>
        </w:tc>
        <w:tc>
          <w:tcPr>
            <w:shd w:fill="auto" w:val="clear"/>
            <w:tcMar>
              <w:top w:w="100.0" w:type="dxa"/>
              <w:left w:w="60.0" w:type="dxa"/>
              <w:bottom w:w="100.0" w:type="dxa"/>
              <w:right w:w="60.0" w:type="dxa"/>
            </w:tcMar>
            <w:vAlign w:val="top"/>
          </w:tcPr>
          <w:p w:rsidR="00000000" w:rsidDel="00000000" w:rsidP="00000000" w:rsidRDefault="00000000" w:rsidRPr="00000000" w14:paraId="00000373">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.867 (182/210)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4">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75">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.863 (397/460)</w:t>
            </w:r>
          </w:p>
        </w:tc>
        <w:tc>
          <w:tcPr>
            <w:shd w:fill="auto" w:val="clear"/>
            <w:tcMar>
              <w:top w:w="100.0" w:type="dxa"/>
              <w:left w:w="60.0" w:type="dxa"/>
              <w:bottom w:w="100.0" w:type="dxa"/>
              <w:right w:w="60.0" w:type="dxa"/>
            </w:tcMar>
            <w:vAlign w:val="top"/>
          </w:tcPr>
          <w:p w:rsidR="00000000" w:rsidDel="00000000" w:rsidP="00000000" w:rsidRDefault="00000000" w:rsidRPr="00000000" w14:paraId="00000376">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.813 (187/230)</w:t>
            </w:r>
          </w:p>
        </w:tc>
        <w:tc>
          <w:tcPr>
            <w:shd w:fill="auto" w:val="clear"/>
            <w:tcMar>
              <w:top w:w="100.0" w:type="dxa"/>
              <w:left w:w="60.0" w:type="dxa"/>
              <w:bottom w:w="100.0" w:type="dxa"/>
              <w:right w:w="60.0" w:type="dxa"/>
            </w:tcMar>
            <w:vAlign w:val="top"/>
          </w:tcPr>
          <w:p w:rsidR="00000000" w:rsidDel="00000000" w:rsidP="00000000" w:rsidRDefault="00000000" w:rsidRPr="00000000" w14:paraId="00000377">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 (192/205)</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8">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79">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 (358/466)</w:t>
            </w:r>
          </w:p>
        </w:tc>
        <w:tc>
          <w:tcPr>
            <w:shd w:fill="auto" w:val="clear"/>
            <w:tcMar>
              <w:top w:w="100.0" w:type="dxa"/>
              <w:left w:w="60.0" w:type="dxa"/>
              <w:bottom w:w="100.0" w:type="dxa"/>
              <w:right w:w="60.0" w:type="dxa"/>
            </w:tcMar>
            <w:vAlign w:val="top"/>
          </w:tcPr>
          <w:p w:rsidR="00000000" w:rsidDel="00000000" w:rsidP="00000000" w:rsidRDefault="00000000" w:rsidRPr="00000000" w14:paraId="0000037A">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.751 (175/233)</w:t>
            </w:r>
          </w:p>
        </w:tc>
        <w:tc>
          <w:tcPr>
            <w:shd w:fill="auto" w:val="clear"/>
            <w:tcMar>
              <w:top w:w="100.0" w:type="dxa"/>
              <w:left w:w="60.0" w:type="dxa"/>
              <w:bottom w:w="100.0" w:type="dxa"/>
              <w:right w:w="60.0" w:type="dxa"/>
            </w:tcMar>
            <w:vAlign w:val="top"/>
          </w:tcPr>
          <w:p w:rsidR="00000000" w:rsidDel="00000000" w:rsidP="00000000" w:rsidRDefault="00000000" w:rsidRPr="00000000" w14:paraId="0000037B">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.871 (183/210)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620"/>
        <w:gridCol w:w="900"/>
        <w:gridCol w:w="900"/>
        <w:gridCol w:w="1120"/>
      </w:tblGrid>
      <w:tr>
        <w:trPr>
          <w:cantSplit w:val="1"/>
          <w:tblHeader w:val="1"/>
        </w:trPr>
        <w:tc>
          <w:tcPr>
            <w:shd w:fill="auto" w:val="clear"/>
            <w:tcMar>
              <w:top w:w="100.0" w:type="dxa"/>
              <w:left w:w="50.0" w:type="dxa"/>
              <w:bottom w:w="100.0" w:type="dxa"/>
              <w:right w:w="50.0" w:type="dxa"/>
            </w:tcMar>
            <w:vAlign w:val="top"/>
          </w:tcPr>
          <w:p w:rsidR="00000000" w:rsidDel="00000000" w:rsidP="00000000" w:rsidRDefault="00000000" w:rsidRPr="00000000" w14:paraId="00000381">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Condition</w:t>
            </w:r>
          </w:p>
        </w:tc>
        <w:tc>
          <w:tcPr>
            <w:shd w:fill="auto" w:val="clear"/>
            <w:tcMar>
              <w:top w:w="100.0" w:type="dxa"/>
              <w:left w:w="50.0" w:type="dxa"/>
              <w:bottom w:w="100.0" w:type="dxa"/>
              <w:right w:w="50.0" w:type="dxa"/>
            </w:tcMar>
            <w:vAlign w:val="top"/>
          </w:tcPr>
          <w:p w:rsidR="00000000" w:rsidDel="00000000" w:rsidP="00000000" w:rsidRDefault="00000000" w:rsidRPr="00000000" w14:paraId="00000382">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Errors</w:t>
            </w:r>
          </w:p>
        </w:tc>
        <w:tc>
          <w:tcPr>
            <w:shd w:fill="auto" w:val="clear"/>
            <w:tcMar>
              <w:top w:w="100.0" w:type="dxa"/>
              <w:left w:w="50.0" w:type="dxa"/>
              <w:bottom w:w="100.0" w:type="dxa"/>
              <w:right w:w="50.0" w:type="dxa"/>
            </w:tcMar>
            <w:vAlign w:val="top"/>
          </w:tcPr>
          <w:p w:rsidR="00000000" w:rsidDel="00000000" w:rsidP="00000000" w:rsidRDefault="00000000" w:rsidRPr="00000000" w14:paraId="00000383">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GT SUCCESS in errors</w:t>
            </w:r>
          </w:p>
        </w:tc>
        <w:tc>
          <w:tcPr>
            <w:shd w:fill="auto" w:val="clear"/>
            <w:tcMar>
              <w:top w:w="100.0" w:type="dxa"/>
              <w:left w:w="50.0" w:type="dxa"/>
              <w:bottom w:w="100.0" w:type="dxa"/>
              <w:right w:w="50.0" w:type="dxa"/>
            </w:tcMar>
            <w:vAlign w:val="top"/>
          </w:tcPr>
          <w:p w:rsidR="00000000" w:rsidDel="00000000" w:rsidP="00000000" w:rsidRDefault="00000000" w:rsidRPr="00000000" w14:paraId="00000384">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GT SUCCESS in valid</w:t>
            </w:r>
          </w:p>
        </w:tc>
        <w:tc>
          <w:tcPr>
            <w:shd w:fill="auto" w:val="clear"/>
            <w:tcMar>
              <w:top w:w="100.0" w:type="dxa"/>
              <w:left w:w="50.0" w:type="dxa"/>
              <w:bottom w:w="100.0" w:type="dxa"/>
              <w:right w:w="50.0" w:type="dxa"/>
            </w:tcMar>
            <w:vAlign w:val="top"/>
          </w:tcPr>
          <w:p w:rsidR="00000000" w:rsidDel="00000000" w:rsidP="00000000" w:rsidRDefault="00000000" w:rsidRPr="00000000" w14:paraId="00000385">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Bias?</w:t>
            </w:r>
          </w:p>
        </w:tc>
      </w:tr>
      <w:tr>
        <w:trPr>
          <w:cantSplit w:val="1"/>
          <w:tblHeader w:val="0"/>
        </w:trPr>
        <w:tc>
          <w:tcPr>
            <w:shd w:fill="auto" w:val="clear"/>
            <w:tcMar>
              <w:top w:w="100.0" w:type="dxa"/>
              <w:left w:w="50.0" w:type="dxa"/>
              <w:bottom w:w="100.0" w:type="dxa"/>
              <w:right w:w="50.0" w:type="dxa"/>
            </w:tcMar>
            <w:vAlign w:val="top"/>
          </w:tcPr>
          <w:p w:rsidR="00000000" w:rsidDel="00000000" w:rsidP="00000000" w:rsidRDefault="00000000" w:rsidRPr="00000000" w14:paraId="0000038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50.0" w:type="dxa"/>
              <w:bottom w:w="100.0" w:type="dxa"/>
              <w:right w:w="50.0" w:type="dxa"/>
            </w:tcMar>
            <w:vAlign w:val="top"/>
          </w:tcPr>
          <w:p w:rsidR="00000000" w:rsidDel="00000000" w:rsidP="00000000" w:rsidRDefault="00000000" w:rsidRPr="00000000" w14:paraId="0000038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34</w:t>
            </w:r>
          </w:p>
        </w:tc>
        <w:tc>
          <w:tcPr>
            <w:shd w:fill="auto" w:val="clear"/>
            <w:tcMar>
              <w:top w:w="100.0" w:type="dxa"/>
              <w:left w:w="50.0" w:type="dxa"/>
              <w:bottom w:w="100.0" w:type="dxa"/>
              <w:right w:w="50.0" w:type="dxa"/>
            </w:tcMar>
            <w:vAlign w:val="top"/>
          </w:tcPr>
          <w:p w:rsidR="00000000" w:rsidDel="00000000" w:rsidP="00000000" w:rsidRDefault="00000000" w:rsidRPr="00000000" w14:paraId="0000038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8.8%</w:t>
            </w:r>
          </w:p>
        </w:tc>
        <w:tc>
          <w:tcPr>
            <w:shd w:fill="auto" w:val="clear"/>
            <w:tcMar>
              <w:top w:w="100.0" w:type="dxa"/>
              <w:left w:w="50.0" w:type="dxa"/>
              <w:bottom w:w="100.0" w:type="dxa"/>
              <w:right w:w="50.0" w:type="dxa"/>
            </w:tcMar>
            <w:vAlign w:val="top"/>
          </w:tcPr>
          <w:p w:rsidR="00000000" w:rsidDel="00000000" w:rsidP="00000000" w:rsidRDefault="00000000" w:rsidRPr="00000000" w14:paraId="0000038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16.8%</w:t>
            </w:r>
          </w:p>
        </w:tc>
        <w:tc>
          <w:tcPr>
            <w:shd w:fill="auto" w:val="clear"/>
            <w:tcMar>
              <w:top w:w="100.0" w:type="dxa"/>
              <w:left w:w="50.0" w:type="dxa"/>
              <w:bottom w:w="100.0" w:type="dxa"/>
              <w:right w:w="50.0" w:type="dxa"/>
            </w:tcMar>
            <w:vAlign w:val="top"/>
          </w:tcPr>
          <w:p w:rsidR="00000000" w:rsidDel="00000000" w:rsidP="00000000" w:rsidRDefault="00000000" w:rsidRPr="00000000" w14:paraId="0000038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No significant bias</w:t>
            </w:r>
          </w:p>
        </w:tc>
      </w:tr>
      <w:tr>
        <w:trPr>
          <w:cantSplit w:val="1"/>
          <w:tblHeader w:val="0"/>
        </w:trPr>
        <w:tc>
          <w:tcPr>
            <w:shd w:fill="auto" w:val="clear"/>
            <w:tcMar>
              <w:top w:w="100.0" w:type="dxa"/>
              <w:left w:w="50.0" w:type="dxa"/>
              <w:bottom w:w="100.0" w:type="dxa"/>
              <w:right w:w="50.0" w:type="dxa"/>
            </w:tcMar>
            <w:vAlign w:val="top"/>
          </w:tcPr>
          <w:p w:rsidR="00000000" w:rsidDel="00000000" w:rsidP="00000000" w:rsidRDefault="00000000" w:rsidRPr="00000000" w14:paraId="0000038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100.0" w:type="dxa"/>
              <w:left w:w="50.0" w:type="dxa"/>
              <w:bottom w:w="100.0" w:type="dxa"/>
              <w:right w:w="50.0" w:type="dxa"/>
            </w:tcMar>
            <w:vAlign w:val="top"/>
          </w:tcPr>
          <w:p w:rsidR="00000000" w:rsidDel="00000000" w:rsidP="00000000" w:rsidRDefault="00000000" w:rsidRPr="00000000" w14:paraId="0000038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w:t>
            </w:r>
          </w:p>
        </w:tc>
        <w:tc>
          <w:tcPr>
            <w:shd w:fill="auto" w:val="clear"/>
            <w:tcMar>
              <w:top w:w="100.0" w:type="dxa"/>
              <w:left w:w="50.0" w:type="dxa"/>
              <w:bottom w:w="100.0" w:type="dxa"/>
              <w:right w:w="50.0" w:type="dxa"/>
            </w:tcMar>
            <w:vAlign w:val="top"/>
          </w:tcPr>
          <w:p w:rsidR="00000000" w:rsidDel="00000000" w:rsidP="00000000" w:rsidRDefault="00000000" w:rsidRPr="00000000" w14:paraId="0000038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21.4%</w:t>
            </w:r>
          </w:p>
        </w:tc>
        <w:tc>
          <w:tcPr>
            <w:shd w:fill="auto" w:val="clear"/>
            <w:tcMar>
              <w:top w:w="100.0" w:type="dxa"/>
              <w:left w:w="50.0" w:type="dxa"/>
              <w:bottom w:w="100.0" w:type="dxa"/>
              <w:right w:w="50.0" w:type="dxa"/>
            </w:tcMar>
            <w:vAlign w:val="top"/>
          </w:tcPr>
          <w:p w:rsidR="00000000" w:rsidDel="00000000" w:rsidP="00000000" w:rsidRDefault="00000000" w:rsidRPr="00000000" w14:paraId="0000038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16.4%</w:t>
            </w:r>
          </w:p>
        </w:tc>
        <w:tc>
          <w:tcPr>
            <w:shd w:fill="auto" w:val="clear"/>
            <w:tcMar>
              <w:top w:w="100.0" w:type="dxa"/>
              <w:left w:w="50.0" w:type="dxa"/>
              <w:bottom w:w="100.0" w:type="dxa"/>
              <w:right w:w="50.0" w:type="dxa"/>
            </w:tcMar>
            <w:vAlign w:val="top"/>
          </w:tcPr>
          <w:p w:rsidR="00000000" w:rsidDel="00000000" w:rsidP="00000000" w:rsidRDefault="00000000" w:rsidRPr="00000000" w14:paraId="0000038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No significant bias</w:t>
            </w:r>
          </w:p>
        </w:tc>
      </w:tr>
      <w:tr>
        <w:trPr>
          <w:cantSplit w:val="1"/>
          <w:tblHeader w:val="0"/>
        </w:trPr>
        <w:tc>
          <w:tcPr>
            <w:shd w:fill="auto" w:val="clear"/>
            <w:tcMar>
              <w:top w:w="100.0" w:type="dxa"/>
              <w:left w:w="50.0" w:type="dxa"/>
              <w:bottom w:w="100.0" w:type="dxa"/>
              <w:right w:w="50.0" w:type="dxa"/>
            </w:tcMar>
            <w:vAlign w:val="top"/>
          </w:tcPr>
          <w:p w:rsidR="00000000" w:rsidDel="00000000" w:rsidP="00000000" w:rsidRDefault="00000000" w:rsidRPr="00000000" w14:paraId="0000039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100.0" w:type="dxa"/>
              <w:left w:w="50.0" w:type="dxa"/>
              <w:bottom w:w="100.0" w:type="dxa"/>
              <w:right w:w="50.0" w:type="dxa"/>
            </w:tcMar>
            <w:vAlign w:val="top"/>
          </w:tcPr>
          <w:p w:rsidR="00000000" w:rsidDel="00000000" w:rsidP="00000000" w:rsidRDefault="00000000" w:rsidRPr="00000000" w14:paraId="0000039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15</w:t>
            </w:r>
          </w:p>
        </w:tc>
        <w:tc>
          <w:tcPr>
            <w:shd w:fill="auto" w:val="clear"/>
            <w:tcMar>
              <w:top w:w="100.0" w:type="dxa"/>
              <w:left w:w="50.0" w:type="dxa"/>
              <w:bottom w:w="100.0" w:type="dxa"/>
              <w:right w:w="50.0" w:type="dxa"/>
            </w:tcMar>
            <w:vAlign w:val="top"/>
          </w:tcPr>
          <w:p w:rsidR="00000000" w:rsidDel="00000000" w:rsidP="00000000" w:rsidRDefault="00000000" w:rsidRPr="00000000" w14:paraId="0000039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20.0%</w:t>
            </w:r>
          </w:p>
        </w:tc>
        <w:tc>
          <w:tcPr>
            <w:shd w:fill="auto" w:val="clear"/>
            <w:tcMar>
              <w:top w:w="100.0" w:type="dxa"/>
              <w:left w:w="50.0" w:type="dxa"/>
              <w:bottom w:w="100.0" w:type="dxa"/>
              <w:right w:w="50.0" w:type="dxa"/>
            </w:tcMar>
            <w:vAlign w:val="top"/>
          </w:tcPr>
          <w:p w:rsidR="00000000" w:rsidDel="00000000" w:rsidP="00000000" w:rsidRDefault="00000000" w:rsidRPr="00000000" w14:paraId="0000039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18.9%</w:t>
            </w:r>
          </w:p>
        </w:tc>
        <w:tc>
          <w:tcPr>
            <w:shd w:fill="auto" w:val="clear"/>
            <w:tcMar>
              <w:top w:w="100.0" w:type="dxa"/>
              <w:left w:w="50.0" w:type="dxa"/>
              <w:bottom w:w="100.0" w:type="dxa"/>
              <w:right w:w="50.0" w:type="dxa"/>
            </w:tcMar>
            <w:vAlign w:val="top"/>
          </w:tcPr>
          <w:p w:rsidR="00000000" w:rsidDel="00000000" w:rsidP="00000000" w:rsidRDefault="00000000" w:rsidRPr="00000000" w14:paraId="0000039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No significant bias</w:t>
            </w:r>
          </w:p>
        </w:tc>
      </w:tr>
      <w:tr>
        <w:trPr>
          <w:cantSplit w:val="1"/>
          <w:tblHeader w:val="0"/>
        </w:trPr>
        <w:tc>
          <w:tcPr>
            <w:shd w:fill="auto" w:val="clear"/>
            <w:tcMar>
              <w:top w:w="100.0" w:type="dxa"/>
              <w:left w:w="50.0" w:type="dxa"/>
              <w:bottom w:w="100.0" w:type="dxa"/>
              <w:right w:w="50.0" w:type="dxa"/>
            </w:tcMar>
            <w:vAlign w:val="top"/>
          </w:tcPr>
          <w:p w:rsidR="00000000" w:rsidDel="00000000" w:rsidP="00000000" w:rsidRDefault="00000000" w:rsidRPr="00000000" w14:paraId="0000039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100.0" w:type="dxa"/>
              <w:left w:w="50.0" w:type="dxa"/>
              <w:bottom w:w="100.0" w:type="dxa"/>
              <w:right w:w="50.0" w:type="dxa"/>
            </w:tcMar>
            <w:vAlign w:val="top"/>
          </w:tcPr>
          <w:p w:rsidR="00000000" w:rsidDel="00000000" w:rsidP="00000000" w:rsidRDefault="00000000" w:rsidRPr="00000000" w14:paraId="0000039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w:t>
            </w:r>
          </w:p>
        </w:tc>
        <w:tc>
          <w:tcPr>
            <w:shd w:fill="auto" w:val="clear"/>
            <w:tcMar>
              <w:top w:w="100.0" w:type="dxa"/>
              <w:left w:w="50.0" w:type="dxa"/>
              <w:bottom w:w="100.0" w:type="dxa"/>
              <w:right w:w="50.0" w:type="dxa"/>
            </w:tcMar>
            <w:vAlign w:val="top"/>
          </w:tcPr>
          <w:p w:rsidR="00000000" w:rsidDel="00000000" w:rsidP="00000000" w:rsidRDefault="00000000" w:rsidRPr="00000000" w14:paraId="0000039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21.4%</w:t>
            </w:r>
          </w:p>
        </w:tc>
        <w:tc>
          <w:tcPr>
            <w:shd w:fill="auto" w:val="clear"/>
            <w:tcMar>
              <w:top w:w="100.0" w:type="dxa"/>
              <w:left w:w="50.0" w:type="dxa"/>
              <w:bottom w:w="100.0" w:type="dxa"/>
              <w:right w:w="50.0" w:type="dxa"/>
            </w:tcMar>
            <w:vAlign w:val="top"/>
          </w:tcPr>
          <w:p w:rsidR="00000000" w:rsidDel="00000000" w:rsidP="00000000" w:rsidRDefault="00000000" w:rsidRPr="00000000" w14:paraId="0000039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18.8%</w:t>
            </w:r>
          </w:p>
        </w:tc>
        <w:tc>
          <w:tcPr>
            <w:shd w:fill="auto" w:val="clear"/>
            <w:tcMar>
              <w:top w:w="100.0" w:type="dxa"/>
              <w:left w:w="50.0" w:type="dxa"/>
              <w:bottom w:w="100.0" w:type="dxa"/>
              <w:right w:w="50.0" w:type="dxa"/>
            </w:tcMar>
            <w:vAlign w:val="top"/>
          </w:tcPr>
          <w:p w:rsidR="00000000" w:rsidDel="00000000" w:rsidP="00000000" w:rsidRDefault="00000000" w:rsidRPr="00000000" w14:paraId="0000039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All-task (intention-to-treat) accuracy. </w:t>
      </w:r>
      <w:r>
        <w:rPr>
          <w:rFonts w:ascii="Times New Roman" w:cs="Times New Roman" w:eastAsia="Times New Roman" w:hAnsi="Times New Roman"/>
          <w:sz w:val="20"/>
          <w:szCs w:val="20"/>
          <w:rtl w:val="0"/>
        </w:rPr>
        <w:t xml:space="preserve">Every accuracy in the body of the paper is per-protocol: it is computed over the instances for which the verifier returned a parseable SUCCESS or FAILURE verdict. A deployment cannot discard the others, so we also report the all-task rate, which counts every instance in the denominator and treats an unparseable or failed response as a verification the system did not deliver. The two agree to within 0.001 for thirteen of the twenty runs. The seven that differ by more belong to GPT-4.1 Nano, where the largest shift is Condition D at 0.025, and to Claude Sonnet 4, which has the lowest valid-response rates of any verifier: its Condition C falls from 0.803 to 0.721 and Condition D from 0.752 to 0.680. That difference changes the ranking within Condition C, where Claude leads on the per-protocol figure but sits behind Gemini 3.6 Flash (0.782) and GPT-4.1 Mini (0.735) on the all-task figure. The Condition B result that our recommendation rests on is not affected: Claude remains the most accurate verifier under both conventions (0.867 per-protocol, 0.854 all-task). Escalating an invalid response to a human is the other reasonable policy; its cost is the complement of the valid-response rate in the table below, which is at most 10.2 percent of instances for any run.</w:t>
      </w:r>
    </w:p>
    <w:p>
      <w:pPr>
        <w:jc w:val="both"/>
        <w:rPr>
          <w:rFonts w:ascii="Times New Roman" w:cs="Times New Roman" w:eastAsia="Times New Roman" w:hAnsi="Times New Roman"/>
          <w:sz w:val="20"/>
          <w:szCs w:val="20"/>
        </w:rPr>
      </w:pP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0"/>
        <w:gridCol w:w="490"/>
        <w:gridCol w:w="740"/>
        <w:gridCol w:w="1010"/>
        <w:gridCol w:w="960"/>
      </w:tblGrid>
      <w:tr>
        <w:trPr>
          <w:cantSplit w:val="1"/>
          <w:tblHeader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Cond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Valid / N</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Per-protocol</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All-task</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0.774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0.766</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0.836</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0.827</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0.673</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0.673</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142/147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0.739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0.714</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0.638</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0.637</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0.844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0.843</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0.735</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0.735</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0.762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0.762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0.700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0.700</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0.821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0.821</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0.585</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0.585</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0.646</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0.646</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875/909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0.774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0.745</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895/909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0.867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0.854</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132/147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0.803</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0.721</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133/147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0.752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0.680</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0.779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0.779</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0.788</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0.788</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0.782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0.782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0.810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0.810</w:t>
            </w:r>
          </w:p>
        </w:tc>
      </w:tr>
    </w:tbl>
    <w:p>
      <w:pPr>
        <w:jc w:val="both"/>
        <w:rPr>
          <w:rFonts w:ascii="Times New Roman" w:cs="Times New Roman" w:eastAsia="Times New Roman" w:hAnsi="Times New Roman"/>
          <w:sz w:val="20"/>
          <w:szCs w:val="20"/>
        </w:rPr>
      </w:pPr>
    </w:p>
    <w:p>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modes are of two kinds. </w:t>
      </w:r>
      <w:r>
        <w:rPr>
          <w:rFonts w:ascii="Times New Roman" w:cs="Times New Roman" w:eastAsia="Times New Roman" w:hAnsi="Times New Roman"/>
          <w:sz w:val="20"/>
          <w:szCs w:val="20"/>
          <w:rtl w:val="0"/>
        </w:rPr>
        <w:t xml:space="preserve">A PARSE_ERROR is a response the provider returned but from which no JSON verdict could be recovered after the five-step strategy above; an API_ERROR is a call that never returned one after 6 attempts. They are not interchangeable: the first is a model behaviour and the second is an infrastructure failure. Across all 10,560 calls there were 100 of the former and 5 of the latter, so essentially all invalid responses are parsing failures, and 77% of those come from Claude Sonnet 4, which prefers prose to JSON when it is uncertain.</w:t>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0"/>
        <w:gridCol w:w="1060"/>
        <w:gridCol w:w="940"/>
        <w:gridCol w:w="960"/>
      </w:tblGrid>
      <w:tr>
        <w:trPr>
          <w:cantSplit w:val="1"/>
          <w:tblHeader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PARSE_ERROR</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API_ERROR</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Valid</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2087/2112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2110/2112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2111/2112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2035/2112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2112/2112</w:t>
            </w:r>
          </w:p>
        </w:tc>
      </w:tr>
    </w:tbl>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A1">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A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A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A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A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A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A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A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A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illustrates how a text reference can supply a concrete assertion to check, converting "does this look successful?" into a specific comparison. It is a single illustrative case, not evidence about a failure category.</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B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B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B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B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B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B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B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60.0" w:type="dxa"/>
              <w:bottom w:w="100.0" w:type="dxa"/>
              <w:right w:w="60.0" w:type="dxa"/>
            </w:tcMar>
            <w:vAlign w:val="top"/>
          </w:tcPr>
          <w:p w:rsidR="00000000" w:rsidDel="00000000" w:rsidP="00000000" w:rsidRDefault="00000000" w:rsidRPr="00000000" w14:paraId="000003B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B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B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B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B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7"/>
        <w:gridCol w:w="1763"/>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C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C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C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C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C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C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This is a case where even the text reference fails to correct the model. The MCAT book page shows a cover image that does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GPT-4.1 and Claude Sonnet 4 correctly identify that the wrong product was added; GPT-4.1 reports "The wish list contains the wrong product." Gemini 3.6 Flash is not rescued by the reference and still reports SUCCESS at confidence 10, which is consistent with its negligible aggregate A→B gain. This is the prototypical deceptive failure: correct action type (added to wish list), correct category (office chair), but wrong specific item.</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thresholds are swept and evaluated on the same 147 instances, so the operating points below are in-sample and describe this dataset rather than estimating out-of-sample deployment performance. With 147 instances a held-out split would leave roughly 73 per half, too few to estimate a threshold and its accuracy independently, so we report the curve descriptively and make no deployment guarantee from it.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figures/fig8_threshold_policy.{pdf,png}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p>
    <w:p>
      <w:pPr>
        <w:jc w:val="center"/>
      </w:pPr>
      <w:r>
        <w:rPr/>
        <w:drawing>
          <wp:inline distB="0" distT="0" distL="114300" distR="114300">
            <wp:extent cx="2743200" cy="712766"/>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2766"/>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Success-conditional reliability. </w:t>
      </w:r>
      <w:r>
        <w:rPr>
          <w:rFonts w:ascii="Times New Roman" w:cs="Times New Roman" w:eastAsia="Times New Roman" w:hAnsi="Times New Roman"/>
          <w:sz w:val="20"/>
          <w:szCs w:val="20"/>
          <w:rtl w:val="0"/>
        </w:rPr>
        <w:t xml:space="preserve">Aggregate accuracy and ECE describe a verifier over all of its predictions, but a deployment that auto-accepts SUCCESS is exposed only to the SUCCESS predictions. The table below restricts attention to those, in Condition B, and compares how often they are right with how confident the model was when it made them. No verifier is safe to auto-accept on these numbers. GPT-4.1 states a mean confidence of 0.996 on predictions that are correct 46.8 percent of the time, a gap of 0.527, and Gemini 3.6 Flash is similar. Claude Sonnet 4 is again the least miscalibrated, and is still wrong on 41.9 percent of the successes it reports. This is the quantity a practitioner needs, and it is not recoverable from overall accuracy or from ECE computed across both classes.</w:t>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00"/>
        <w:gridCol w:w="1000"/>
        <w:gridCol w:w="760"/>
        <w:gridCol w:w="680"/>
        <w:gridCol w:w="580"/>
      </w:tblGrid>
      <w:tr>
        <w:trPr>
          <w:cantSplit w:val="1"/>
          <w:tblHeader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Pred. SUCCESS</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Precision</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Mean conf.</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Gap</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138</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0.507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0.958</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+0.451</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0.519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0.942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+0.423</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205</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0.468</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0.996</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+0.527</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172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0.581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0.796</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+0.215</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0.413</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0.962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+0.549</w:t>
            </w:r>
          </w:p>
        </w:tc>
      </w:tr>
    </w:tbl>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scripts/generate_text_ref_variants.py (no API calls; deterministic) and the ablation is run by scripts/run_text_ref_ablation.py over a fixed-seed 100-instance subset, summarised by scripts/analyze_text_ref_ablation.py into results/textref_ablation_summary.csv. We evaluate GPT-4.1 Mini and Claude Sonnet 4, the model with the largest text-reference benefit and the most accurate verifier respectively. On this subset the majority-class (always-FAILURE) rate is 86.9%, and the full reference attains 84.8% accuracy / 0.595 F1 for GPT-4.1 Mini and 90.9% / 0.690 for Claude Sonnet 4.</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Results. Reference quality matters, and F1 rather than accuracy exposes it. Truncating the reference to its first sentence (short) costs GPT-4.1 Mini 0.231 F1 (0.595 → 0.364) and Claude Sonnet 4 0.157 F1 (0.690 → 0.533). Adding a distractor sentence (noisy) costs a further 0.031 and 0.019 F1 respectively, so verbosity is less damaging than omission. The wrong variant is the most instructive: accuracy rises to 86.0% (GPT-4.1 Mini) and 87.0% (Claude Sonnet 4), at or above the full-reference figure, while F1 collapses to 0.000 for both models. An off-topic reference does not merely fail to help; it drives the verifier to answer FAILURE on every instance, recovering the majority-class rate and losing all ability to recognise success. This is the same degenerate pattern seen in the SSIM baseline (Section 5.4), and it reinforces that accuracy alone is an unsafe headline metric on an 83.5%-FAILURE dataset. Practically, a verification pipeline that silently supplies a stale or mismatched reference would look accurate while having become useless.</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b w:val="1"/>
          <w:bCs w:val="1"/>
          <w:sz w:val="20"/>
          <w:szCs w:val="20"/>
        </w:rPr>
      </w:pPr>
      <w:bookmarkStart w:colFirst="0" w:colLast="0" w:name="_gqkfdeqri12q" w:id="21"/>
      <w:bookmarkEnd w:id="21"/>
      <w:r>
        <w:rPr>
          <w:rFonts w:ascii="Times New Roman" w:cs="Times New Roman" w:eastAsia="Times New Roman" w:hAnsi="Times New Roman"/>
          <w:b w:val="1"/>
          <w:bCs w:val="1"/>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Screenshots.</w:t>
      </w:r>
      <w:r>
        <w:rPr>
          <w:rFonts w:ascii="Times New Roman" w:cs="Times New Roman" w:eastAsia="Times New Roman" w:hAnsi="Times New Roman"/>
          <w:sz w:val="20"/>
          <w:szCs w:val="20"/>
          <w:rtl w:val="0"/>
        </w:rPr>
        <w:t xml:space="preserve"> Final-state screenshots from VWA agent trajectories are 1280 × 2048 PNG (portrait, 5:8 aspect ratio). They are sent to each provider without any resizing or compression, base64-encoded. Reference screenshots from human trajectories are 800 × 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5"/>
        <w:tblW w:w="39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20"/>
        <w:gridCol w:w="1160"/>
      </w:tblGrid>
      <w:tr>
        <w:trPr>
          <w:cantSplit w:val="1"/>
          <w:tblHeader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Provider</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Max output tokens</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Temperature</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 (gpt-4.1, mini, nano)</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512</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Anthropic (claude-sonnet-4)</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512</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Google Gemini (3.6 flash)</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4096</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w:t>
            </w:r>
          </w:p>
        </w:tc>
      </w:tr>
    </w:tbl>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Images are sent as base64 in each provider's native container: an image_url block with a data URL and detail set to high for OpenAI, a source block of native PNG for Anthropic, and inline_data parts for Gemini. All three are called through the providers' direct APIs. Providers may rescale internally, OpenAI above its native cap and Anthropic for anything larger than 1568 px on the long edge. Gemini does not accept a temperature of exactly 0, so we use the smallest legal value, and Gemini 3.x charges internal reasoning tokens against max_output_tokens, so a 512-token cap truncated most responses mid-JSON. We therefore raise its cap to 4096 and request response_mime_type=application/json; the visible answer remains about 80 tokens, comparable to the other providers.</w:t>
      </w:r>
    </w:p>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6 with exponential backoff (1 s, 2 s, 4 s, 8 s, 16 s). Persistent failures are logged as verdict: API_ERROR.</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cost of the full study is reported in Section 5.6 ($35.04 across 10,560 calls). Reproducing the entire study costs less than the cost of a single human evaluator-day at typical contractor rates; this is the practical sense in which the recommended intervention is "low cost."</w:t>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b w:val="1"/>
          <w:bCs w:val="1"/>
          <w:sz w:val="20"/>
          <w:szCs w:val="20"/>
        </w:rPr>
      </w:pPr>
      <w:bookmarkStart w:colFirst="0" w:colLast="0" w:name="_be79miqmv2ma" w:id="22"/>
      <w:bookmarkEnd w:id="22"/>
      <w:r>
        <w:rPr>
          <w:rFonts w:ascii="Times New Roman" w:cs="Times New Roman" w:eastAsia="Times New Roman" w:hAnsi="Times New Roman"/>
          <w:b w:val="1"/>
          <w:bCs w:val="1"/>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results/S1_paired_tests.csv, with the matched instance IDs behind each test in results/S1_task_ids/. Bonferroni-significant pairs at α'=0.05/30=0.00167 (the same set survives Holm-Bonferroni step-down) are: GPT-4.1 Nano A→B; GPT-4.1 Mini A→B and A→D; GPT-4.1 A→B and B→C; Claude Sonnet 4 A→B. Four of the six are A→B comparisons, covering every model except Gemini 3.6 Flash, whose A→B change is not significant (p=0.450). Only one contrast involving visual references survives correction, GPT-4.1's B→C, so the earlier claim that visual references degrade most models does not hold at this significance threshold and is presented as suggestive in Section 5.1.</w:t>
      </w:r>
      <w:r>
        <w:rPr>
          <w:rFonts w:ascii="Times New Roman" w:cs="Times New Roman" w:eastAsia="Times New Roman" w:hAnsi="Times New Roman"/>
          <w:color w:val="188038"/>
          <w:sz w:val="20"/>
          <w:szCs w:val="20"/>
          <w:rtl w:val="0"/>
        </w:rPr>
        <w:t xml:space="preserve"/>
      </w:r>
      <w:r>
        <w:rPr>
          <w:rFonts w:ascii="Times New Roman" w:cs="Cardo" w:eastAsia="Cardo" w:hAnsi="Times New Roman"/>
          <w:sz w:val="20"/>
          <w:szCs w:val="20"/>
          <w:rtl w:val="0"/>
        </w:rPr>
        <w:t xml:space="preserve"/>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Xue, T., Qi, W., Shi, T., Song, C.H., Gou, B., Song, D., Sun, H., Su, Y. "An Illusion of Progress? Assessing the Current State of Web Agents." Conference on Language Modeling (COLM), 2025. Available: https://arxiv.org/abs/2504.01382</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[29]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40" w:lineRule="auto"/>
        <w:jc w:val="both"/>
        <w:rPr>
          <w:rFonts w:ascii="Times New Roman" w:cs="Times New Roman" w:eastAsia="Times New Roman" w:hAnsi="Times New Roman"/>
          <w:sz w:val="16"/>
          <w:szCs w:val="16"/>
        </w:rPr>
      </w:pPr>
      <w:r>
        <w:drawing>
          <wp:inline distB="0" distT="0" distL="0" distR="114300">
            <wp:extent cx="914400" cy="1143000"/>
            <wp:effectExtent b="0" l="0" r="0" t="0"/>
            <wp:docPr id="90001" name="photo_vt"/>
            <a:graphic xmlns:a="http://schemas.openxmlformats.org/drawingml/2006/main">
              <a:graphicData uri="http://schemas.openxmlformats.org/drawingml/2006/picture">
                <pic:pic xmlns:pic="http://schemas.openxmlformats.org/drawingml/2006/picture">
                  <pic:nvPicPr>
                    <pic:cNvPr id="0" name="photo_vt"/>
                    <pic:cNvPicPr preferRelativeResize="0"/>
                  </pic:nvPicPr>
                  <pic:blipFill>
                    <a:blip r:embed="rId44"/>
                    <a:srcRect b="0" l="0" r="0" t="0"/>
                    <a:stretch>
                      <a:fillRect/>
                    </a:stretch>
                  </pic:blipFill>
                  <pic:spPr>
                    <a:xfrm>
                      <a:off x="0" y="0"/>
                      <a:ext cx="914400" cy="1143000"/>
                    </a:xfrm>
                    <a:prstGeom prst="rect">
                      <a:avLst/>
                    </a:prstGeom>
                    <a:ln>
                      <a:noFill/>
                    </a:ln>
                  </pic:spPr>
                </pic:pic>
              </a:graphicData>
            </a:graphic>
          </wp:inline>
        </w:drawing>
      </w: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40" w:lineRule="auto"/>
        <w:jc w:val="both"/>
        <w:rPr>
          <w:rFonts w:ascii="Times New Roman" w:cs="Times New Roman" w:eastAsia="Times New Roman" w:hAnsi="Times New Roman"/>
          <w:sz w:val="16"/>
          <w:szCs w:val="16"/>
        </w:rPr>
      </w:pPr>
      <w:r>
        <w:drawing>
          <wp:inline distB="0" distT="0" distL="0" distR="114300">
            <wp:extent cx="914400" cy="1143000"/>
            <wp:effectExtent b="0" l="0" r="0" t="0"/>
            <wp:docPr id="90002" name="photo_sp"/>
            <a:graphic xmlns:a="http://schemas.openxmlformats.org/drawingml/2006/main">
              <a:graphicData uri="http://schemas.openxmlformats.org/drawingml/2006/picture">
                <pic:pic xmlns:pic="http://schemas.openxmlformats.org/drawingml/2006/picture">
                  <pic:nvPicPr>
                    <pic:cNvPr id="0" name="photo_sp"/>
                    <pic:cNvPicPr preferRelativeResize="0"/>
                  </pic:nvPicPr>
                  <pic:blipFill>
                    <a:blip r:embed="rId45"/>
                    <a:srcRect b="0" l="0" r="0" t="0"/>
                    <a:stretch>
                      <a:fillRect/>
                    </a:stretch>
                  </pic:blipFill>
                  <pic:spPr>
                    <a:xfrm>
                      <a:off x="0" y="0"/>
                      <a:ext cx="914400" cy="1143000"/>
                    </a:xfrm>
                    <a:prstGeom prst="rect">
                      <a:avLst/>
                    </a:prstGeom>
                    <a:ln>
                      <a:noFill/>
                    </a:ln>
                  </pic:spPr>
                </pic:pic>
              </a:graphicData>
            </a:graphic>
          </wp:inline>
        </w:drawing>
      </w: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gutter="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 Id="rId42" Type="http://schemas.openxmlformats.org/officeDocument/2006/relationships/image" Target="media/fig1_new.png"/><Relationship Id="rId43" Type="http://schemas.openxmlformats.org/officeDocument/2006/relationships/image" Target="media/fig5_new.png"/><Relationship Id="rId44" Type="http://schemas.openxmlformats.org/officeDocument/2006/relationships/image" Target="media/author_vishwak.png"/><Relationship Id="rId45" Type="http://schemas.openxmlformats.org/officeDocument/2006/relationships/image" Target="media/author_shravani.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