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Can LLM Web Agents Verify Their Own Work? The Role of Visual and Textual References in Post-Hoc 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 xml:space="preserve">Abstract: Autonomous web agents powered by large multimodal models (LMMs) can now complete complex browser tasks, but determining whether a task succeeded remains an open problem. Current evaluation relies on brittle scripted oracles that cannot generalize across websites. We investigate whether LMMs can post-hoc verify task completion by examining a final screenshot, optionally augmented with a reference, either a textual description of the expected outcome or a screenshot from a successful human trajectory. We evaluate four verification conditions across five frontier closed-API models from three families (GPT-4.1, GPT-4.1 Mini, GPT-4.1 Nano, Claude Sonnet 4, Gemini 3.6 Flash) on 909 VisualWebArena trajectories produced by a single GPT-4V + Set-of-Mark agent across three web domains. In this setting, we find: (1) textual references improve verification for four of the five models when the reference generator is GPT-4.1 Nano (A→B McNemar p&lt;0.001, surviving Bonferroni correction at alpha'=0.0017), and the effect persists under cross-generator evaluation for GPT-4.1 (+9.6pp, p=0.018) and GPT-4.1 Mini (+12.9pp, p=0.007) but not for Nano, Claude, or Gemini; the best configuration (Claude Sonnet 4 + text reference) reaches 86.7% accuracy and 0.627 F1; (2) on the 147-instance visual-reference subset, visual references degrade two of five models, GPT-4.1 falling from 69.2% to 58.5% and GPT-4.1 Nano from 75.3% to 67.3%, while GPT-4.1 Mini (61.2% → 73.5%) and Claude Sonnet 4 (76.6% → 80.3%) improve and Gemini is essentially unchanged (77.6% → 78.2%); (3) dual reference (text + visual) does not consistently outperform text-only across models; (4) Claude Sonnet 4 is well-calibrated by both ECE and Brier score across all conditions, while the GPT-4.1 family and Gemini are more overconfident. Cross-generator and ablation experiments show that the text-reference benefit was partly inflated by self-agreement bias (the original references were generated by GPT-4.1 Nano, one of the evaluated models) and by evaluation-criteria leakage: references generated from the task description alone, without the benchmark's evaluation criteria, provide no benefit. These results indicate that LMM-based post-hoc verification is viable but reference-dependent, and that reference quality, generator independence, and the way the reference is described to the verifier all matter. The findings are conditional on the VWA + GPT-4V/SoM setting; we release the full evaluation harness, prompts, results, and analysis tooling to support cross-benchmark, cross-agent, and cross-verifier replication.</w:t>
        <w:br/>
        <w:br/>
        <w:t/>
        <w:br/>
        <w:br/>
        <w:t/>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Index Terms: large multimodal models, LLM-as-judge, autonomous web agents, post-hoc verification, task verification, confidence calibration, VisualWebArena, multimodal evaluation</w:t>
      </w:r>
      <w:r>
        <w:rPr>
          <w:rFonts w:ascii="Helvetica Neue" w:cs="Helvetica Neue" w:eastAsia="Helvetica Neue" w:hAnsi="Helvetica Neue"/>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use post-hoc verification to mean an LMM judge deciding, from the final screenshot, whether an LMM agent's task succeeded. The judge and the actor are different models in every configuration we test; we do not evaluate closed-loop self-correction. We study this question through a controlled experiment comparing four verification conditions:</w:t>
      </w:r>
    </w:p>
    <w:p>
      <w:pPr/>
      <w:r>
        <w:t>A text reference is a natural-language description of what the successful completion of a task should look like on the final web page. It describes the expected semantic content and state of the page, without specifying layout details such as colors, fonts, or positions. Text references are generated by an LLM given the task description and evaluation criteria.</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Prompt correction. In the originally submitted implementation, the Condition C and D user prompts described the first image as "the reference state (what the page looked like before the agent started)". That description was incorrect: the reference image is the final page state of a human demonstration that completed the task successfully, extracted from the VisualWebArena human Playwright traces, and the 147-instance visual subset is defined precisely by which instances have such a trace. The prompt text in Appendix A of the original submission already described the reference correctly, so the implementation and the documented protocol disagreed. For this revision we corrected the implementation to match Appendix A and re-ran Conditions C and D for all five verifiers. The correction raises Condition C accuracy for every model, by between 4.4 and 5.1 percentage points, while leaving Condition D almost unchanged, which is the expected pattern: Condition D also supplies a textual description of the expected outcome, so it is less sensitive to how the image is captioned. All Condition C and D results reported here use the corrected prompt; the pre-correction runs are retained in the released repository.</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3.6 Flash (Google), on 909 task instances from VisualWebArena [3], covering three web domains (e-commerce, classifieds, social media).</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Model availability note. The originally submitted version of this study evaluated gemini-2.5-flash. That model has since been retired by Google and returns HTTP 404 for API keys issued after its cutoff, so its results are no longer reproducible and the per-instance outputs could not be regenerated. For this revision we substituted gemini-3.6-flash, the successor named in Google's own deprecation message, and re-ran it from scratch across all four conditions and both reference-generator ablations. All Gemini numbers reported here are therefore from gemini-3.6-flash. The substitution changes one headline result: gemini-2.5-flash showed a significant A→B text-reference benefit, whereas gemini-3.6-flash does not, which is why we report the effect as holding for four of five models rather than all five. Aggregate statistics for the retired model are preserved in the released repository for comparison.</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A controlled comparison of reference modalities for LMM post-hoc verification on a fixed set of VWA trajectories across three closed-API model families, demonstrating that text references provide consistent, significant improvements (+5-21pp accuracy) while visual references are model-dependent, tolerated by Claude but harmful for GPT and Gemini models on the 147-instance visual-reference subset.</w:t>
      </w:r>
      <w:r>
        <w:rPr>
          <w:rFonts w:ascii="Times New Roman" w:cs="Times New Roman" w:eastAsia="Times New Roman" w:hAnsi="Times New Roman"/>
          <w:sz w:val="20"/>
          <w:szCs w:val="20"/>
          <w:rtl w:val="0"/>
        </w:rPr>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analysis</w:t>
      </w:r>
      <w:r>
        <w:rPr>
          <w:rFonts w:ascii="Times New Roman" w:cs="Times New Roman" w:eastAsia="Times New Roman" w:hAnsi="Times New Roman"/>
          <w:sz w:val="20"/>
          <w:szCs w:val="20"/>
          <w:rtl w:val="0"/>
        </w:rPr>
        <w:t xml:space="preserve"> revealing that references primarily help with the hardest cases: deceptive failures where the page appears correct but is semantically wrong, with text references providing 5–28pp accuracy gains on this critical subset.</w:t>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Gungsuh" w:cs="Gungsuh" w:eastAsia="Gungsuh" w:hAnsi="Gungsuh"/>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For visual evaluation, MMMU [9] and MMBench [10] assess model visual understanding but do not study post-hoc verification in agentic settings. The closest work to ours is Pan et al.'s autonomous evaluation framework [5] and the WebJudge evaluator (Xue et al., COLM 2025), which uses GPT-4V to evaluate web agent trajectories; however, they do not systematically vary the reference information provided to the judge or analyze calibration properties. Broader agent benchmarks such as AgentBench [11], Mind2Web [12], and TravelPlanner [13]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2.3 Post-Hoc 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Post-hoc verification—where an LMM judge decides, from the final screenshot, whether an LMM agent's task succeeded—is related to self-reflection [14], self-debugging [8], and ReAct-style reasoning-action loops [15]. Reflexion [14] demonstrated that iterative self-evaluation improves downstream task performance, but assumes the self-evaluation signal is reliable. Our work directly measures how reliable that signal is and what information is required to make it useful.</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[16], [17] and verbalized confidence elicitation [18], [19]. Verbalized confidence, which we use here, is known to be noisier than logit-based estimates but is the only option for closed-API models. We adopt the verbalized 1-10 scale for compatibility across providers and analyze calibration with both Expected Calibration Error [20], [17]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[21]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3. The Visual Post-Hoc 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Text references are lightweight to produce, they require the task specification and evaluation criteria, not a successful execution, making them practical for real deployment. They capture what should be true without prescribing how it should look.</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w:t>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br/>
        <w:t>Figure 1: Visual Post-Hoc Verification Framework, inputs, prompt construction, and outputs for each of the four conditions (A–D).</w:t>
        <w:br/>
      </w:r>
      <w:r>
        <w:rPr>
          <w:rFonts w:ascii="Times New Roman" w:cs="Times New Roman" w:eastAsia="Times New Roman" w:hAnsi="Times New Roman"/>
          <w:sz w:val="20"/>
          <w:szCs w:val="20"/>
        </w:rPr>
      </w:r>
      <w:r>
        <w:rPr>
          <w:rFonts w:ascii="Times New Roman" w:cs="Times New Roman" w:eastAsia="Times New Roman" w:hAnsi="Times New Roman"/>
          <w:sz w:val="20"/>
          <w:szCs w:val="20"/>
          <w:rtl w:val="0"/>
        </w:rPr>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600"/>
        <w:gridCol w:w="1560"/>
        <w:tblGridChange w:id="0">
          <w:tblGrid>
            <w:gridCol w:w="1080"/>
            <w:gridCol w:w="1080"/>
            <w:gridCol w:w="600"/>
            <w:gridCol w:w="1560"/>
          </w:tblGrid>
        </w:tblGridChange>
      </w:tblGrid>
      <w:tr>
        <w:trPr>
          <w:cantSplit w:val="0"/>
          <w:trHeight w:val="9.4775390625"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[22]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categorization is central to our analysis: we hypothesize that references should help most with deceptive failures.</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Family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Vision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10,560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Times New Roman" w:cs="Times New Roman" w:eastAsia="Times New Roman" w:hAnsi="Times New Roman"/>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w:t>
      </w:r>
      <w:r>
        <w:rPr>
          <w:rFonts w:ascii="Times New Roman" w:cs="Times New Roman" w:eastAsia="Times New Roman" w:hAnsi="Times New Roman"/>
          <w:sz w:val="20"/>
          <w:szCs w:val="20"/>
          <w:rtl w:val="0"/>
        </w:rPr>
        <w:t xml:space="preserve">: For the SUCCESS class specifically.</w:t>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[23]: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[24]: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[20], [17]: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Times New Roman" w:cs="Times New Roman" w:eastAsia="Times New Roman" w:hAnsi="Times New Roman"/>
          <w:b w:val="1"/>
          <w:bCs w:val="1"/>
          <w:i w:val="1"/>
          <w:iCs w:val="1"/>
          <w:sz w:val="20"/>
          <w:szCs w:val="20"/>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[21]: For the 147 visual-reference instances we compute the Structural Similarity Index between each agent screenshot and its human reference screenshot. The two are resampled to a common 800x446 grayscale resolution, the native size of the human trace frames, so that neither image is cropped. Because a threshold-based baseline can be tuned for different objectives, we report two rules explicitly rather than a single "optimal" number. The accuracy-maximizing threshold (SSIM &gt; 0.794) attains 81.0% accuracy with 0.000 F1: it is the degenerate rule that labels every instance FAILURE, and its accuracy is exactly the 80.95% majority-class rate on this subset. The F1-maximizing threshold (SSIM &gt; 0.406) attains 0.325 F1 at 46.3% accuracy with a 58.8% false-positive rate. Neither rule is usable, which is the point: pixel-level similarity carries no actionable signal for task verification. A perceptual-hash baseline behaves the same way (accuracy-maximizing pHash distance &lt; 0.234 gives 81.6% accuracy at 0.069 F1). We note that pretrained vision-language similarity (e.g., BLIP-2 [25]) could be substituted; SSIM is a strong, well-understood baseline that requires no learned encoder.</w:t>
      </w:r>
      <w:r>
        <w:rPr>
          <w:rFonts w:ascii="Times New Roman" w:cs="Times New Roman" w:eastAsia="Times New Roman" w:hAnsi="Times New Roman"/>
          <w:sz w:val="20"/>
          <w:szCs w:val="20"/>
          <w:rtl w:val="0"/>
        </w:rPr>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Times New Roman" w:cs="Times New Roman" w:eastAsia="Times New Roman" w:hAnsi="Times New Roman"/>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540"/>
        <w:gridCol w:w="540"/>
        <w:gridCol w:w="540"/>
        <w:gridCol w:w="540"/>
        <w:gridCol w:w="540"/>
        <w:gridCol w:w="540"/>
        <w:gridCol w:w="540"/>
        <w:tblGridChange w:id="0">
          <w:tblGrid>
            <w:gridCol w:w="540"/>
            <w:gridCol w:w="540"/>
            <w:gridCol w:w="540"/>
            <w:gridCol w:w="540"/>
            <w:gridCol w:w="540"/>
            <w:gridCol w:w="540"/>
            <w:gridCol w:w="540"/>
            <w:gridCol w:w="54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Accuracy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Bal.Acc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Prec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Rec</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B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[.255,.389]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.836 [.812,.861]</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.488 [.417,.557]</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.690</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 [.599,.748]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.368 [.222,.500]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.292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D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 [.662,.810]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.373 [.200,.525]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.407</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D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.638 [.607,.669]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.396 [.344,.446]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.844 [.820,.867]</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.606 [.546,.663]</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.797</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.735 [.660,.803]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.339 [.179,.486]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F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 [.694,.830]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.462 [.308,.613]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.536</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F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.700 [.671,.731]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 [.380,.490]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.705</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.821 [.796,.846]</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.541 [.477,.603]</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.748</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.585 [.503,.667]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.371 [.244,.494]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1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.646 [.565,.721]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 [.270,.527]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1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 [.404,.527]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.592</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.867 [.845,.889]</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.627 [.562,.688]</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.792</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.803 [.735,.871]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.594 [.441,.719]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3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 [.677,.827]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.492 [.338,.630]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3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.779 [.754,.807]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.501 [.440,.559]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.788 [.760,.814]</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.514 [.453,.571]</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.744</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 [.714,.850]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.543 [.373,.676]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.679</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5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.810 [.748,.871]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.576 [.421,.714]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.679</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Text references improve verification for four of five models. Condition B outperforms Condition A for every model except Gemini, with accuracy gains of +6.2pp (Nano), +20.6pp (Mini), +12.1pp (GPT-4.1), and +9.3pp (Claude). McNemar's test confirms significance at p&lt;0.001 for these four models, each surviving Bonferroni correction (Table 2). Gemini 3.6 Flash is the exception: it gains only +0.9pp (77.9% → 78.8%) and the change is not significant (χ²=0.6, p=0.450). The F1 improvement is more dramatic than accuracy alone suggests: Mini improves from 0.396 to 0.606, meaning text references help the model correctly identify both successes and failures rather than merely shifting the decision boundary. Notably, Gemini achieves the highest baseline accuracy without references (77.9%), suggesting strong intrinsic visual understanding, and appears to gain correspondingly little from an added textual description.</w:t>
      </w:r>
      <w:r>
        <w:rPr>
          <w:rFonts w:ascii="Times New Roman" w:cs="Times New Roman" w:eastAsia="Times New Roman" w:hAnsi="Times New Roman"/>
          <w:sz w:val="20"/>
          <w:szCs w:val="20"/>
          <w:rtl w:val="0"/>
        </w:rPr>
        <w:t xml:space="preserve"/>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 Comparisons here use the aligned 147-instance subset (Table 5) so that A and C are measured on identical instances. Two models degrade: GPT-4.1 falls from 69.2% to 58.5% (−10.7pp) and GPT-4.1 Nano from 75.3% to 67.3% (−8.0pp). Two improve: GPT-4.1 Mini rises from 61.2% to 73.5% (+12.3pp) and Claude Sonnet 4 from 76.6% to 80.3% (+3.7pp). Gemini is essentially unchanged (77.6% → 78.2%). No A→C comparison survives Bonferroni correction at alpha'=0.0017, so these differences should be read as suggestive rather than established. The pattern is nonetheless consistent with GPT-4.1 treating surface similarity to the reference as more informative than it is, while Claude and Mini integrate the visual signal without being misled.</w:t>
      </w:r>
      <w:r>
        <w:rPr>
          <w:rFonts w:ascii="Cardo" w:cs="Cardo" w:eastAsia="Cardo" w:hAnsi="Cardo"/>
          <w:sz w:val="20"/>
          <w:szCs w:val="20"/>
          <w:rtl w:val="0"/>
        </w:rPr>
        <w:t xml:space="preserve"/>
      </w:r>
      <w:r>
        <w:rPr>
          <w:rFonts w:ascii="Times New Roman" w:cs="Times New Roman" w:eastAsia="Times New Roman" w:hAnsi="Times New Roman"/>
          <w:i w:val="1"/>
          <w:iCs w:val="1"/>
          <w:sz w:val="20"/>
          <w:szCs w:val="20"/>
          <w:rtl w:val="0"/>
        </w:rPr>
        <w:t xml:space="preserve"/>
      </w:r>
      <w:r>
        <w:rPr>
          <w:rFonts w:ascii="Cardo" w:cs="Cardo" w:eastAsia="Cardo" w:hAnsi="Cardo"/>
          <w:sz w:val="20"/>
          <w:szCs w:val="20"/>
          <w:rtl w:val="0"/>
        </w:rPr>
        <w:t xml:space="preserve"/>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3: Dual references (D) rarely outperform text-only (B). On the aligned subset, Condition D underperforms Condition B for four of five models: Nano 80.8% → 73.9%, Mini 79.6% → 76.2%, GPT-4.1 78.2% → 64.6%, and Claude 84.7% → 75.2%. Gemini is the exception, improving from 74.8% to 81.0%. None of these B→D differences survives Bonferroni correction. Where D does fall short of B, the result suggests that visual references introduce noise that partially cancels the benefit of the text reference, with the model anchoring on visual similarity when both modalities are available.</w:t>
      </w:r>
      <w:r>
        <w:rPr>
          <w:rFonts w:ascii="Cardo" w:cs="Cardo" w:eastAsia="Cardo" w:hAnsi="Cardo"/>
          <w:sz w:val="20"/>
          <w:szCs w:val="20"/>
          <w:rtl w:val="0"/>
        </w:rPr>
        <w:t xml:space="preserve"/>
        <w:br w:type="textWrapping"/>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 </w:t>
        <w:br/>
        <w:t>χ² statistic and raw p-value; significance markers (* p&lt;0.05, ** p&lt;0.01, *** p&lt;0.001) refer to uncorrected values. Bold indicates pairs that survive Bonferroni correction at α'=0.05/30=0.00167 across the full 30-test family (5 models × 6 condition pairs); the full corrected table is in Appendix I and results/revision_bonferroni.csv.</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A→B</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
              <w:t>χ²=17.8, p=2e-05*</w:t>
            </w:r>
          </w:p>
        </w:tc>
        <w:tc>
          <w:tcPr>
            <w:shd w:fill="auto" w:val="clear"/>
            <w:tcMar>
              <w:top w:w="100.0" w:type="dxa"/>
              <w:left w:w="100.0" w:type="dxa"/>
              <w:bottom w:w="100.0" w:type="dxa"/>
              <w:right w:w="100.0" w:type="dxa"/>
            </w:tcMar>
            <w:vAlign w:val="top"/>
          </w:tcPr>
          <w:p>
            <w:r>
              <w:t>χ²=2.9, p=0.091</w:t>
            </w:r>
          </w:p>
        </w:tc>
        <w:tc>
          <w:tcPr>
            <w:shd w:fill="auto" w:val="clear"/>
            <w:tcMar>
              <w:top w:w="100.0" w:type="dxa"/>
              <w:left w:w="100.0" w:type="dxa"/>
              <w:bottom w:w="100.0" w:type="dxa"/>
              <w:right w:w="100.0" w:type="dxa"/>
            </w:tcMar>
            <w:vAlign w:val="top"/>
          </w:tcPr>
          <w:p>
            <w:r>
              <w:t>χ²=7.5, p=0.006</w:t>
            </w:r>
          </w:p>
        </w:tc>
        <w:tc>
          <w:tcPr>
            <w:shd w:fill="auto" w:val="clear"/>
            <w:tcMar>
              <w:top w:w="100.0" w:type="dxa"/>
              <w:left w:w="100.0" w:type="dxa"/>
              <w:bottom w:w="100.0" w:type="dxa"/>
              <w:right w:w="100.0" w:type="dxa"/>
            </w:tcMar>
            <w:vAlign w:val="top"/>
          </w:tcPr>
          <w:p>
            <w:r>
              <w:t>χ²=2.9, p=0.091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
              <w:t>χ²=132.6, p=0e+00*</w:t>
            </w:r>
          </w:p>
        </w:tc>
        <w:tc>
          <w:tcPr>
            <w:shd w:fill="auto" w:val="clear"/>
            <w:tcMar>
              <w:top w:w="100.0" w:type="dxa"/>
              <w:left w:w="100.0" w:type="dxa"/>
              <w:bottom w:w="100.0" w:type="dxa"/>
              <w:right w:w="100.0" w:type="dxa"/>
            </w:tcMar>
            <w:vAlign w:val="top"/>
          </w:tcPr>
          <w:p>
            <w:r>
              <w:t>χ²=5.8, p=0.016</w:t>
            </w:r>
          </w:p>
        </w:tc>
        <w:tc>
          <w:tcPr>
            <w:shd w:fill="auto" w:val="clear"/>
            <w:tcMar>
              <w:top w:w="100.0" w:type="dxa"/>
              <w:left w:w="100.0" w:type="dxa"/>
              <w:bottom w:w="100.0" w:type="dxa"/>
              <w:right w:w="100.0" w:type="dxa"/>
            </w:tcMar>
            <w:vAlign w:val="top"/>
          </w:tcPr>
          <w:p>
            <w:r>
              <w:t>χ²=2.6, p=0.110</w:t>
            </w:r>
          </w:p>
        </w:tc>
        <w:tc>
          <w:tcPr>
            <w:shd w:fill="auto" w:val="clear"/>
            <w:tcMar>
              <w:top w:w="100.0" w:type="dxa"/>
              <w:left w:w="100.0" w:type="dxa"/>
              <w:bottom w:w="100.0" w:type="dxa"/>
              <w:right w:w="100.0" w:type="dxa"/>
            </w:tcMar>
            <w:vAlign w:val="top"/>
          </w:tcPr>
          <w:p>
            <w:r>
              <w:t>χ²=0.6, p=0.441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
              <w:t>χ²=60.0, p=9e-15*</w:t>
            </w:r>
          </w:p>
        </w:tc>
        <w:tc>
          <w:tcPr>
            <w:shd w:fill="auto" w:val="clear"/>
            <w:tcMar>
              <w:top w:w="100.0" w:type="dxa"/>
              <w:left w:w="100.0" w:type="dxa"/>
              <w:bottom w:w="100.0" w:type="dxa"/>
              <w:right w:w="100.0" w:type="dxa"/>
            </w:tcMar>
            <w:vAlign w:val="top"/>
          </w:tcPr>
          <w:p>
            <w:r>
              <w:t>χ²=5.0, p=0.025</w:t>
            </w:r>
          </w:p>
        </w:tc>
        <w:tc>
          <w:tcPr>
            <w:shd w:fill="auto" w:val="clear"/>
            <w:tcMar>
              <w:top w:w="100.0" w:type="dxa"/>
              <w:left w:w="100.0" w:type="dxa"/>
              <w:bottom w:w="100.0" w:type="dxa"/>
              <w:right w:w="100.0" w:type="dxa"/>
            </w:tcMar>
            <w:vAlign w:val="top"/>
          </w:tcPr>
          <w:p>
            <w:r>
              <w:t>χ²=16.0, p=6e-05*</w:t>
            </w:r>
          </w:p>
        </w:tc>
        <w:tc>
          <w:tcPr>
            <w:shd w:fill="auto" w:val="clear"/>
            <w:tcMar>
              <w:top w:w="100.0" w:type="dxa"/>
              <w:left w:w="100.0" w:type="dxa"/>
              <w:bottom w:w="100.0" w:type="dxa"/>
              <w:right w:w="100.0" w:type="dxa"/>
            </w:tcMar>
            <w:vAlign w:val="top"/>
          </w:tcPr>
          <w:p>
            <w:r>
              <w:t>χ²=8.2, p=0.004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
              <w:t>χ²=41.3, p=1e-10*</w:t>
            </w:r>
          </w:p>
        </w:tc>
        <w:tc>
          <w:tcPr>
            <w:shd w:fill="auto" w:val="clear"/>
            <w:tcMar>
              <w:top w:w="100.0" w:type="dxa"/>
              <w:left w:w="100.0" w:type="dxa"/>
              <w:bottom w:w="100.0" w:type="dxa"/>
              <w:right w:w="100.0" w:type="dxa"/>
            </w:tcMar>
            <w:vAlign w:val="top"/>
          </w:tcPr>
          <w:p>
            <w:r>
              <w:t>exact, p=0.832</w:t>
            </w:r>
          </w:p>
        </w:tc>
        <w:tc>
          <w:tcPr>
            <w:shd w:fill="auto" w:val="clear"/>
            <w:tcMar>
              <w:top w:w="100.0" w:type="dxa"/>
              <w:left w:w="100.0" w:type="dxa"/>
              <w:bottom w:w="100.0" w:type="dxa"/>
              <w:right w:w="100.0" w:type="dxa"/>
            </w:tcMar>
            <w:vAlign w:val="top"/>
          </w:tcPr>
          <w:p>
            <w:r>
              <w:t>exact, p=0.405</w:t>
            </w:r>
          </w:p>
        </w:tc>
        <w:tc>
          <w:tcPr>
            <w:shd w:fill="auto" w:val="clear"/>
            <w:tcMar>
              <w:top w:w="100.0" w:type="dxa"/>
              <w:left w:w="100.0" w:type="dxa"/>
              <w:bottom w:w="100.0" w:type="dxa"/>
              <w:right w:w="100.0" w:type="dxa"/>
            </w:tcMar>
            <w:vAlign w:val="top"/>
          </w:tcPr>
          <w:p>
            <w:r>
              <w:t>χ²=4.7, p=0.031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
              <w:t>χ²=0.6, p=0.450</w:t>
            </w:r>
          </w:p>
        </w:tc>
        <w:tc>
          <w:tcPr>
            <w:shd w:fill="auto" w:val="clear"/>
            <w:tcMar>
              <w:top w:w="100.0" w:type="dxa"/>
              <w:left w:w="100.0" w:type="dxa"/>
              <w:bottom w:w="100.0" w:type="dxa"/>
              <w:right w:w="100.0" w:type="dxa"/>
            </w:tcMar>
            <w:vAlign w:val="top"/>
          </w:tcPr>
          <w:p>
            <w:r>
              <w:t>exact, p=1.000</w:t>
            </w:r>
          </w:p>
        </w:tc>
        <w:tc>
          <w:tcPr>
            <w:shd w:fill="auto" w:val="clear"/>
            <w:tcMar>
              <w:top w:w="100.0" w:type="dxa"/>
              <w:left w:w="100.0" w:type="dxa"/>
              <w:bottom w:w="100.0" w:type="dxa"/>
              <w:right w:w="100.0" w:type="dxa"/>
            </w:tcMar>
            <w:vAlign w:val="top"/>
          </w:tcPr>
          <w:p>
            <w:r>
              <w:t>exact, p=0.332</w:t>
            </w:r>
          </w:p>
        </w:tc>
        <w:tc>
          <w:tcPr>
            <w:shd w:fill="auto" w:val="clear"/>
            <w:tcMar>
              <w:top w:w="100.0" w:type="dxa"/>
              <w:left w:w="100.0" w:type="dxa"/>
              <w:bottom w:w="100.0" w:type="dxa"/>
              <w:right w:w="100.0" w:type="dxa"/>
            </w:tcMar>
            <w:vAlign w:val="top"/>
          </w:tcPr>
          <w:p>
            <w:r>
              <w:t>exact, p=0.022</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Cardo" w:cs="Cardo" w:eastAsia="Cardo" w:hAnsi="Cardo"/>
          <w:sz w:val="20"/>
          <w:szCs w:val="20"/>
          <w:rtl w:val="0"/>
        </w:rPr>
        <w:t xml:space="preserve">The A→B improvement survives Bonferroni correction for four of the five models; Gemini 3.6 Flash is the exception (p=0.450). Of the 30 paired tests, 6 are Bonferroni-significant, and the same 6 are significant under the Holm-Bonferroni step-down procedure. Four of the six are A→B comparisons; the other two are GPT-4.1 Mini's A→D (χ²=10.0, p=0.0016) and GPT-4.1's B→C (χ²=16.0, p=6e-05). GPT-4.1's B→C is the only surviving contrast involving visual references: for that model, switching from text to visual references significantly worsens performance. The evidence that reference modality drives the effect is therefore now confined to a single model. Claude and Gemini are the most robust to visual references.</w:t>
      </w:r>
      <w:r>
        <w:rPr>
          <w:rFonts w:ascii="Times New Roman" w:cs="Times New Roman" w:eastAsia="Times New Roman" w:hAnsi="Times New Roman"/>
          <w:b w:val="1"/>
          <w:bCs w:val="1"/>
          <w:sz w:val="20"/>
          <w:szCs w:val="20"/>
          <w:rtl w:val="0"/>
        </w:rPr>
      </w:r>
      <w:r>
        <w:rPr>
          <w:rFonts w:ascii="Cardo" w:cs="Cardo" w:eastAsia="Cardo" w:hAnsi="Cardo"/>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Gungsuh" w:cs="Gungsuh" w:eastAsia="Gungsuh" w:hAnsi="Gungsuh"/>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Cardo" w:cs="Cardo" w:eastAsia="Cardo" w:hAnsi="Cardo"/>
          <w:sz w:val="20"/>
          <w:szCs w:val="20"/>
          <w:rtl w:val="0"/>
        </w:rPr>
        <w:t xml:space="preserve">. The A and B columns differ slightly from Table 1 because they are computed on a different, smaller instance set; the A→B and A→C/D effects remain in the same direction and magnitude.</w:t>
      </w:r>
    </w:p>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480"/>
        <w:gridCol w:w="480"/>
        <w:gridCol w:w="480"/>
        <w:gridCol w:w="480"/>
        <w:gridCol w:w="480"/>
        <w:gridCol w:w="480"/>
        <w:gridCol w:w="480"/>
        <w:gridCol w:w="480"/>
        <w:tblGridChange w:id="0">
          <w:tblGrid>
            <w:gridCol w:w="480"/>
            <w:gridCol w:w="480"/>
            <w:gridCol w:w="480"/>
            <w:gridCol w:w="480"/>
            <w:gridCol w:w="480"/>
            <w:gridCol w:w="480"/>
            <w:gridCol w:w="480"/>
            <w:gridCol w:w="480"/>
            <w:gridCol w:w="4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F1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.368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.559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.748</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.576</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except Gemini; (ii) visual references (C) underperform A for GPT-4.1 and GPT-4.1 Nano, improve on it for GPT-4.1 Mini and Claude, and are neutral for Gemini; (iii) D beats B only for Gemini. The aligned-subset view eliminates the concern that A vs C/D differences could be driven by sampling differences across instance sets.</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This confirms that evaluation criteria—not merely the natural-language task description—are the primary source of the text-reference benefit. The no-criteria references lack the structured success criteria that guide the verifier's judgment, rendering the text reference ineffective.</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Gemini 3.6 Flash: −2.0pp (77.6%→75.5%), p=0.58, not significant.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Claude Sonnet 4: −1.4pp (76.8%→75.4%), p=0.80, not significant.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GPT-4.1: +1.4pp (69.2%→70.5%), p=0.84, not significant.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GPT-4.1 Mini: +6.8pp (61.2%→68.0%), p=0.089, not significant.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GPT-4.1 Nano: +0.0pp (75.7%→75.7%), p=0.84, not significant.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No model shows significant benefit when evaluation criteria are removed:</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Table 8: No-criteria ablation results. Same format as Table 7. All values on the 147-subset.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We tested whether the evaluation criteria, and not merely the task description, drive the text-reference benefit. We generated references with GPT-4.1 Nano, the same generator used for the primary references, but omitted the benchmark's evaluation criteria from the generation prompt. Holding the generator fixed isolates the contribution of the criteria: the resulting references contain a natural-language description of the expected outcome but no structured success criteria.</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t xml:space="preserve">5.2.3 No-Criteria Ablation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The text-reference benefit is robust for GPT-4.1 and GPT-4.1 Mini under independent generation. For Nano, Claude, and Gemini the effect is positive but not significant. Notably, Nano shows the largest gap between self-generated and independently generated references (+5.7pp self versus +1.4pp cross), which is the expected signature of self-agreement bias given that Nano generated the original references. The original A→B comparison therefore represents an upper bound; the cross-generator results provide a more realistic estimate of achievable benefit.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Gemini 3.6 Flash: +2.0pp lift (77.6%→79.6%), McNemar p=0.66, not significant.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Claude Sonnet 4: +5.0pp lift (77.1%→82.1%), McNemar p=0.19, not significant. Reduced but positive effect.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GPT-4.1 Nano: +1.4pp lift (75.4%→76.8%), McNemar p=0.84, not significant. The self-generated benefit largely disappears under an independent generator.</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GPT-4.1 Mini: +12.9pp lift (61.2%→74.1%), McNemar p=0.007, significant. The largest cross-generator benefit.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GPT-4.1: +9.6pp lift (69.2%→78.8%), McNemar p=0.018, significant. The text-reference benefit is robust under independent generation.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The cross-generator results show a more nuanced picture than the original A→B comparison: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Table 7: Cross-generator results (Claude Sonnet 4 references, 147-subset). Acc=accuracy, lift=A−B difference, McNemar p-value vs. A.</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To test whether the text-reference benefit depends on the specific generator model, we regenerated text references using Claude Sonnet 4 as an independent generator. The original references were generated by GPT-4.1 Nano; using a different model controls for self-agreement bias. We re-ran all five verifiers on the 147-instance visual subset.</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t xml:space="preserve">5.2.2 Cross-Generator Evaluation</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t>5.3 Failure Type Analysis (Exploratory)</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hypothesize that references should help most with </w:t>
      </w: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cases where the final page looks plausible but is semantically incorrect. Table 3 tests this hypothesis.</w:t>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vs. Condition B (text reference).</w:t>
      </w:r>
      <w:r>
        <w:rPr>
          <w:rFonts w:ascii="Times New Roman" w:cs="Times New Roman" w:eastAsia="Times New Roman" w:hAnsi="Times New Roman"/>
          <w:sz w:val="20"/>
          <w:szCs w:val="20"/>
          <w:rtl w:val="0"/>
        </w:rPr>
        <w:t xml:space="preserve"> Δ shows the improvement from adding a text reference.</w:t>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7.1428571428571"/>
        <w:gridCol w:w="617.1428571428571"/>
        <w:gridCol w:w="617.1428571428571"/>
        <w:gridCol w:w="617.1428571428571"/>
        <w:gridCol w:w="617.1428571428571"/>
        <w:gridCol w:w="617.1428571428571"/>
        <w:gridCol w:w="617.1428571428571"/>
        <w:tblGridChange w:id="0">
          <w:tblGrid>
            <w:gridCol w:w="617.1428571428571"/>
            <w:gridCol w:w="617.1428571428571"/>
            <w:gridCol w:w="617.1428571428571"/>
            <w:gridCol w:w="617.1428571428571"/>
            <w:gridCol w:w="617.1428571428571"/>
            <w:gridCol w:w="617.1428571428571"/>
            <w:gridCol w:w="617.1428571428571"/>
          </w:tblGrid>
        </w:tblGridChange>
      </w:tblGrid>
      <w:tr>
        <w:trPr>
          <w:cantSplit w:val="0"/>
          <w:trHeight w:val="400" w:hRule="atLeast"/>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Obvious (156)</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Deceptive (287)</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Partial (316)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.830 (+.065)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.925 (+.085)</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B">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.932 (−.003)</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.750 (+.340)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 (+.279)</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.949 (+.168)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.756 (+.250)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.819 (+.164)</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.940 (+.104)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.812 (+.040)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.868 (+.128)</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.980 (+.089)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.724 (+.013)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.760 (+.014)</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.896 (+.003)</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results confirm our hypothesis with a nuance:</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4: Text references provide the largest absolute gains on deceptive failures. Across all models, deceptive failure accuracy improves by 5.2–27.9 percentage points with text references. For GPT-4.1 Mini, accuracy on deceptive failures increases by about 1.5-fold from 56.1% to 84.0%. </w:t>
      </w:r>
      <w:r>
        <w:rPr>
          <w:rFonts w:ascii="Times New Roman" w:cs="Times New Roman" w:eastAsia="Times New Roman" w:hAnsi="Times New Roman"/>
          <w:sz w:val="20"/>
          <w:szCs w:val="20"/>
          <w:rtl w:val="0"/>
        </w:rPr>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However, the pattern varies by model capability. For GPT-4.1 Mini and GPT-4.1 (GPT-4.1 Mini and GPT-4.1), the gains are actually largest on obvious failures (+34.0pp and +25.0pp respectively), suggesting these models struggle even with clear failures in Condition A and benefit from any grounding signal. The frontier models (GPT-4.1 Nano, Claude, Gemini) already handle obvious failures well in Condition A and show their gains concentrated on the deceptive category. Gemini's smaller deceptive gain (+5.2pp) reflects its already-high baseline accuracy on deceptive failures (85.7%), it is harder to improve what is already strong.</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73152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73152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Computing SSIM between agent and human-reference screenshots on the 147 visual-reference instances yields a stark null result: the mean SSIM for SUCCESS instances (0.440 ± 0.118) is statistically indistinguishable from FAILURE instances (0.438 ± 0.114). Sweeping every threshold that can change a prediction, the accuracy-maximizing rule (SSIM &gt; 0.794) reaches 81.0% accuracy, exactly the majority-class rate, with 0.000 F1, because it predicts FAILURE everywhere. Optimizing for F1 instead selects a much lower threshold (SSIM &gt; 0.406) and yields 0.325 F1 at 46.3% accuracy. Reporting a single "optimal threshold" therefore obscures the result: the apparent 81.0% is an artifact of class imbalance, not evidence of discriminative power.</w:t>
      </w:r>
      <w:r>
        <w:rPr>
          <w:rFonts w:ascii="Times New Roman" w:cs="Times New Roman" w:eastAsia="Times New Roman" w:hAnsi="Times New Roman"/>
          <w:sz w:val="20"/>
          <w:szCs w:val="20"/>
          <w:rtl w:val="0"/>
        </w:rPr>
        <w:t xml:space="preserve"/>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indicates that, under matched-resolution SSIM comparison, pixel-level visual similarity is uninformative for web task verification in this setting. Web pages contain substantial visual variation unrelated to task success (timestamps, dynamic content, advertisements), making raw screenshot comparison futile. This also helps explain why visual references hurt GPT models: if models implicitly perform something like visual matching rather than semantic comparison, they will be misled.</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[17].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We map verbalized confidence c ∈ {1,...,10} to predicted probability c/10 of the predicted class being correct, the standard treatment for verbal confidence elicitation [18], [19].</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ECE_3 / ECE_15 / Brier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.240 / .270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.297 / .288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.280 / .314 / .327</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.279 / .306 / .312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.301 / .326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.093 / .093 / .139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.173 / .199 / .231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.146 / .160 / .206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.262 / .292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 / .161 / .175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.399 / .413 / .414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 .340 / .353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.015 / .030 / .163</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.036 / .046 / .106</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.033 / .099 / .163</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.068 / .118 / .171</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.184 / .178 / .204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 / .184 / .203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.197 / .183 / .207</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.157 / .184 / .182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2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Finding 5: Claude is the best-calibrated verifier on all three measures, in every condition. This holds whether we bin coarsely (3 bins, matching elicitation) or finely (15 equal-mass bins), and is confirmed by the binning-free Brier score. Claude's near-perfect ECE_3bin (e.g., 0.015 in Condition A) loosens slightly under finer binning (ECE_15bin = 0.030) but remains lower than the next-best model in every condition.</w:t>
        <w:br/>
        <w:br/>
        <w:br/>
        <w:t>Figure 5: Calibration reliability diagrams for Conditions A and B across all five models.</w:t>
      </w:r>
      <w:r>
        <w:rPr>
          <w:rFonts w:ascii="Times New Roman" w:cs="Times New Roman" w:eastAsia="Times New Roman" w:hAnsi="Times New Roman"/>
          <w:sz w:val="20"/>
          <w:szCs w:val="20"/>
          <w:rtl w:val="0"/>
        </w:rPr>
      </w:r>
      <w:r>
        <w:rPr/>
      </w:r>
      <w:r>
        <w:rPr>
          <w:rtl w:val="0"/>
        </w:rPr>
      </w:r>
      <w:r>
        <w:rPr>
          <w:rFonts w:ascii="Times New Roman" w:cs="Times New Roman" w:eastAsia="Times New Roman" w:hAnsi="Times New Roman"/>
          <w:sz w:val="20"/>
          <w:szCs w:val="20"/>
          <w:rtl w:val="0"/>
        </w:rPr>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Gungsuh" w:cs="Gungsuh" w:eastAsia="Gungsuh" w:hAnsi="Gungsuh"/>
          <w:sz w:val="20"/>
          <w:szCs w:val="20"/>
          <w:rtl w:val="0"/>
        </w:rPr>
        <w:t xml:space="preserve">GPT-4.1 Mini and GPT-4.1 assign confidence ≥ 7 to virtually all predictions (&gt;99% of instances in the highest bin; full per-model histograms in </w:t>
      </w:r>
      <w:r>
        <w:rPr>
          <w:rFonts w:ascii="Times New Roman" w:cs="Times New Roman" w:eastAsia="Times New Roman" w:hAnsi="Times New Roman"/>
          <w:color w:val="188038"/>
          <w:sz w:val="20"/>
          <w:szCs w:val="20"/>
          <w:rtl w:val="0"/>
        </w:rPr>
        <w:t xml:space="preserve">results/revision_confidence_histogram.csv</w:t>
      </w:r>
      <w:r>
        <w:rPr>
          <w:rFonts w:ascii="Times New Roman" w:cs="Times New Roman" w:eastAsia="Times New Roman" w:hAnsi="Times New Roman"/>
          <w:sz w:val="20"/>
          <w:szCs w:val="20"/>
          <w:rtl w:val="0"/>
        </w:rPr>
        <w:t xml:space="preserve">),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w:t>
      </w:r>
      <w:r>
        <w:rPr>
          <w:rFonts w:ascii="Times New Roman" w:cs="Times New Roman" w:eastAsia="Times New Roman" w:hAnsi="Times New Roman"/>
          <w:b w:val="1"/>
          <w:bCs w:val="1"/>
          <w:sz w:val="20"/>
          <w:szCs w:val="20"/>
          <w:rtl w:val="0"/>
        </w:rPr>
        <w:t xml:space="preserve">Reliability diagrams are reported as Figure 8 (</w:t>
      </w:r>
      <w:r>
        <w:rPr>
          <w:rFonts w:ascii="Times New Roman" w:cs="Times New Roman" w:eastAsia="Times New Roman" w:hAnsi="Times New Roman"/>
          <w:b w:val="1"/>
          <w:bCs w:val="1"/>
          <w:color w:val="188038"/>
          <w:sz w:val="20"/>
          <w:szCs w:val="20"/>
          <w:rtl w:val="0"/>
        </w:rPr>
        <w:t xml:space="preserve">figures/fig8_reliability_diagrams.{pdf,png}</w:t>
      </w:r>
      <w:r>
        <w:rPr>
          <w:rFonts w:ascii="Times New Roman" w:cs="Times New Roman" w:eastAsia="Times New Roman" w:hAnsi="Times New Roman"/>
          <w:b w:val="1"/>
          <w:bCs w:val="1"/>
          <w:sz w:val="20"/>
          <w:szCs w:val="20"/>
          <w:rtl w:val="0"/>
        </w:rPr>
        <w:t xml:space="preserve">).</w:t>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747"/>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747"/>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Cardo" w:cs="Cardo" w:eastAsia="Cardo" w:hAnsi="Cardo"/>
          <w:sz w:val="20"/>
          <w:szCs w:val="20"/>
          <w:rtl w:val="0"/>
        </w:rPr>
        <w:t xml:space="preserve">Text references improve GPT's calibration (A→B: ECE_15bin drops for GPT-4.1 Mini from 0.301 to 0.093; for GPT-4.1 from 0.262 to 0.161), while visual references worsen it (A→C: GPT-4.1 ECE_15bin rises to 0.441). This parallels the accuracy results and further supports the interpretation that visual references introduce confusion for non-Claude models. We caution that verbalized confidence is a known-noisy elicitation method [18];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x 4 conditions, including retried PARSE_ERROR/API_ERROR records), we executed 10,560 verification API calls at a total cost of $35.04 (per-call costs and latency in results/revision_cost_latency.csv). Note that the Gemini figures reflect gemini-3.6-flash pricing, which is roughly five times the input and six times the output rate of the retired gemini-2.5-flash used in the original submission.</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 GPT-4.1 Nano $0.75, GPT-4.1 Mini $2.15, GPT-4.1 $7.51, Claude Sonnet 4 $21.75, Gemini 3.6 Flash $2.88. Per-call cost ranges from $0.00029 (GPT-4.1 Nano) to $0.0100 (Claude Sonnet 4). Mean per-call latency in Condition B ranges from 3.2s (GPT-4.1 Mini) to 8.3s (Gemini 3.6 Flash). Adding a text reference (A→B) increases per-call cost by less than 10% on average and per-call latency negligibly, supporting the practical recommendation in Section 6: text references are a near-zero-cost upgrade.</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 sits between them, with 152 FPs and 49 FNs in Condition A.</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Gungsuh" w:cs="Gungsuh" w:eastAsia="Gungsuh" w:hAnsi="Gungsuh"/>
          <w:sz w:val="20"/>
          <w:szCs w:val="20"/>
          <w:rtl w:val="0"/>
        </w:rPr>
        <w:t>Text references (Condition B) dramatically reduce false positives while only modestly increasing false negatives. For GPT-4.1 Mini, false positives drop from 287 to 101 (−65%) while false negatives decrease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increase the false-positive rate for GPT-4.1. On the 147-instance subset GPT-4.1 produces 51 false positives against 68 true negatives, an FPR of 42.9%, versus 30.0% (228/(228+531)) in Condition A. The model appears to treat "the actual page looks somewhat like the reference" as evidence of success even when the semantic content differs. The effect is model-specific: Claude Sonnet 4 (FPR 18.7%) and Gemini 3.6 Flash (19.3%) do not show it.</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Visual references add modest cost ($0.14–$7.27 per model) but do not improve verification accuracy, confirming that text references with evaluation criteria are sufficient for most use cases.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GPT-4.1 Nano offers the lowest cost ($0.26 for 909 instances in Condition B) and a good cost-accuracy tradeoff. Claude Sonnet 4 ($9.11) is the most expensive but the most accurate and by far the best calibrated.</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Table 11: Estimated cost and latency for verifying 909 instances. Text-only verification assumes ~538 input tokens and ~200 output tokens per instance.</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5.10 Cost-Latency Tradeoffs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These examples illustrate that text references are most helpful when they provide structured evaluation criteria that the verifier can systematically check. They are least helpful when the verifier uses the reference as a proxy for task completion rather than as a checklist.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Where text references hurt: In vwa_classifieds_144 (GT=FAILURE), GPT-4.1 Mini without a reference correctly identifies that the comment text is lowercase ('how funky...') rather than the required 'How funky...'. With a text reference, it overlooks this case-sensitivity issue, likely because the reference states the expected comment without emphasizing exact case matching.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Where text references help: In vwa_classifieds_111 (GT=FAILURE), GPT-4.1 Nano without a reference correctly identifies the task failed but provides incomplete reasoning. With a text reference, it additionally notes the jersey team name mismatch, providing more actionable feedback.</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Across all five models, on instances where both Conditions A and B produced a valid verdict, text references improved verification in 649 instances and degraded it in 209. We present representative examples of both.</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5.9 Qualitative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Gemini 3.6 Flash neither gains nor loses appreciably from a text reference (+0.9pp, p=0.450). Inspection of its outputs suggests why: its confidence is saturated near the top of the scale in every condition, and its verdicts change comparatively rarely when a reference is added. Where it does err, the failure mode is reference-anchored: it reports that the expected state is present, echoing the reference text, when the screenshot does not show it.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The overconfidence pattern is most pronounced for the GPT-4.1 family, where mean confidence when wrong equals or exceeds confidence when correct (GPT-4.1 9.78 vs 9.41, GPT-4.1 Mini 9.42 vs 9.37, GPT-4.1 Nano 8.81 vs 8.22 in Condition A). For these models confidence scores alone are unreliable for filtering low-quality verifications. Gemini 3.6 Flash is only marginally better (9.59 correct vs 9.47 wrong), its confidence being almost saturated at the top of the scale. Claude Sonnet 4 shows the best calibration, with a positive gap of +0.7 to +0.9 between correct and incorrect confidence.</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Table 10: Confidence when correct vs. wrong for Conditions A and B.</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A key finding is that four of the five models exhibit substantial overconfidence: median confidence of 9-10 whether or not the verdict is correct. Claude Sonnet 4 is the exception, with a median of 8 when correct against 7 when wrong in Condition A. Table 10 shows the mean confidence when correct versus when wrong.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5.8 Overconfidence Analysis</w:t>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consistent superiority of text references across all models suggests a fundamental mechanism: text references convert an open-ended visual judgment ("does this look successful?") into a structured checklist ("does the page show X, Y, and Z?"). This aligns with research on prompt engineering showing that decomposing complex judgments into specific sub-criteria improves model accuracy [26].</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6.2 Why Visual References Fail for GPT</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 and Gemini models, but not Claude, reveals a model-family difference in visual reasoning.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Gungsuh" w:cs="Gungsuh" w:eastAsia="Gungsuh" w:hAnsi="Gungsuh"/>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GPT-4.1, which falls from 69.2% to 58.5% on the aligned subset, shows the pattern most clearly and is consistent with the surface-anchoring hypothesis. Gemini 3.6 Flash, by contrast, has the strongest no-reference baseline (77.9%) and is essentially unaffected by either reference modality, which suggests it relies more heavily on its own reading of the screenshot than on the supplied reference.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Invest in text reference generation with evaluation criteria. Text descriptions that include task-specific evaluation criteria improve verification for GPT-4.1 and GPT-4.1 Mini even when generated by an independent model. However, reference quality and generator compatibility matter; references without criteria or from incompatible generators may not help or may hurt performance.</w:t>
      </w:r>
      <w:r>
        <w:rPr>
          <w:rFonts w:ascii="Times New Roman" w:cs="Times New Roman" w:eastAsia="Times New Roman" w:hAnsi="Times New Roman"/>
          <w:sz w:val="20"/>
          <w:szCs w:val="20"/>
          <w:rtl w:val="0"/>
        </w:rPr>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 Visual references should be tested per-model before deployment: they harm GPT-4.1 and GPT-4.1 Nano, help GPT-4.1 Mini and Claude Sonnet 4, and leave Gemini essentially unchanged.</w:t>
      </w:r>
      <w:r>
        <w:rPr>
          <w:rFonts w:ascii="Times New Roman" w:cs="Times New Roman" w:eastAsia="Times New Roman" w:hAnsi="Times New Roman"/>
          <w:sz w:val="20"/>
          <w:szCs w:val="20"/>
          <w:rtl w:val="0"/>
        </w:rPr>
        <w:t xml:space="preserve"/>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Consider targeted verification for deceptive failures. While text references showed the largest absolute gains on deceptive failures in the original self-generated comparison, this finding is exploratory: the three-category failure taxonomy has not yet been validated by a two-annotator agreement study [IAA-PENDING: Cohen's kappa to be inserted], and the effect may not generalize under cross-generator evaluation.</w:t>
      </w:r>
      <w:r>
        <w:rPr>
          <w:rFonts w:ascii="Times New Roman" w:cs="Times New Roman" w:eastAsia="Times New Roman" w:hAnsi="Times New Roman"/>
          <w:sz w:val="20"/>
          <w:szCs w:val="20"/>
          <w:rtl w:val="0"/>
        </w:rPr>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3.6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 Failure-type categorization is partly subjective; we provide a labeling protocol description and representative examples (Appendix E). To support a defensible inter-annotator agreement (IAA) figure we ship the labeling interface in iaa_labeling/, which serves a 100-instance double-labeling subset over the three-category taxonomy (obvious / deceptive / partial) and scripts/recompute_iaa.py, which computes Cohen's kappa [27] with the Landis and Koch interpretation [28] together with the full confusion matrix. A two-annotator study over the three-category taxonomy is in progress and its agreement figure will be reported in Section 5.3 [IAA-PENDING: Cohen's kappa, confusion matrix, and per-annotator label distributions to be inserted]. An earlier two-category pilot (failed / partial only) reached Cohen's kappa = 0.116, which is slight agreement and does not speak to the three-category taxonomy the paper uses. Until the three-category study is complete, the failure-type taxonomy should be treated as exploratory, with the labeling protocol and representative examples given in Appendix E. Verification is judged from a single final screenshot, which precludes detection of multi-step trajectory errors. Confidence is model-self-reported, which is a noisier elicitation than internal-logit methods [18], [19] and should be interpreted only after calibration analysis (Section 5.5).</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 We use paired McNemar tests on jointly valid instances and percentile bootstrap confidence intervals (2,000 resamples). Where b+c &lt; 25 we use an exact binomial test rather than the asymptotic approximation. We apply both Bonferroni and Holm-Bonferroni multiple-comparison correction across the full 30-test family (5 models x 6 condition pairs) at family-wise α=0.05; 6 of 30 tests are significant under both corrections (Appendix I, results/revision_bonferroni.csv). We report Brier score in addition to ECE so that calibration claims do not depend on a particular binning choice.</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Automated post-hoc 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have presented a controlled study of reference-augmented LMM post-hoc verification for web agents. Across 909 VisualWebArena trajectories, four reference conditions, and five frontier closed-API models from three families, three findings hold consistently in this setting: text references significantly and uniformly improve verification, visual references degrade most models on the visual-reference subset, and adding a reference screenshot on top of a text reference does not help.</w:t>
      </w:r>
      <w:r>
        <w:rPr>
          <w:rFonts w:ascii="Times New Roman" w:cs="Times New Roman" w:eastAsia="Times New Roman" w:hAnsi="Times New Roman"/>
          <w:b w:val="1"/>
          <w:bCs w:val="1"/>
          <w:sz w:val="20"/>
          <w:szCs w:val="20"/>
          <w:rtl w:val="0"/>
        </w:rPr>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Sonnet 4) and GPT-4.1 Mini's from 63.8% to 84.4%, with the largest gains on the hardest, "deceptive", failure cases. The benefit is not universal: Gemini 3.6 Flash gains only 0.9pp, which is not significant.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[12]; (2) inclusion of open-weight verifiers and a non-LLM-generated text-reference source to rule out reference-generation-circularity effects; (3) iterative self-reflection [14]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Repository: see the project's public code release listed in </w:t>
      </w:r>
      <w:r>
        <w:rPr>
          <w:rFonts w:ascii="Times New Roman" w:cs="Times New Roman" w:eastAsia="Times New Roman" w:hAnsi="Times New Roman"/>
          <w:color w:val="188038"/>
          <w:sz w:val="20"/>
          <w:szCs w:val="20"/>
          <w:rtl w:val="0"/>
        </w:rPr>
        <w:t>CITATION.cff</w:t>
      </w:r>
      <w:r>
        <w:rPr>
          <w:rFonts w:ascii="Times New Roman" w:cs="Times New Roman" w:eastAsia="Times New Roman" w:hAnsi="Times New Roman"/>
          <w:sz w:val="20"/>
          <w:szCs w:val="20"/>
          <w:rtl w:val="0"/>
        </w:rPr>
        <w:t xml:space="preserve"> (https://github.com/shravaniparsi/agentic-ui-test).</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all paper figures (</w:t>
      </w:r>
      <w:r>
        <w:rPr>
          <w:rFonts w:ascii="Times New Roman" w:cs="Times New Roman" w:eastAsia="Times New Roman" w:hAnsi="Times New Roman"/>
          <w:color w:val="188038"/>
          <w:sz w:val="20"/>
          <w:szCs w:val="20"/>
          <w:rtl w:val="0"/>
        </w:rPr>
        <w:t xml:space="preserve">fig1</w:t>
      </w:r>
      <w:r>
        <w:rPr>
          <w:rFonts w:ascii="Times New Roman" w:cs="Times New Roman" w:eastAsia="Times New Roman" w:hAnsi="Times New Roman"/>
          <w:sz w:val="20"/>
          <w:szCs w:val="20"/>
          <w:rtl w:val="0"/>
        </w:rPr>
        <w:t xml:space="preserve">-</w:t>
      </w:r>
      <w:r>
        <w:rPr>
          <w:rFonts w:ascii="Times New Roman" w:cs="Times New Roman" w:eastAsia="Times New Roman" w:hAnsi="Times New Roman"/>
          <w:color w:val="188038"/>
          <w:sz w:val="20"/>
          <w:szCs w:val="20"/>
          <w:rtl w:val="0"/>
        </w:rPr>
        <w:t xml:space="preserve">fig6</w:t>
      </w:r>
      <w:r>
        <w:rPr>
          <w:rFonts w:ascii="Times New Roman" w:cs="Times New Roman" w:eastAsia="Times New Roman" w:hAnsi="Times New Roman"/>
          <w:sz w:val="20"/>
          <w:szCs w:val="20"/>
          <w:rtl w:val="0"/>
        </w:rPr>
        <w:t xml:space="preserve">) are regenerated by </w:t>
      </w:r>
      <w:r>
        <w:rPr>
          <w:rFonts w:ascii="Times New Roman" w:cs="Times New Roman" w:eastAsia="Times New Roman" w:hAnsi="Times New Roman"/>
          <w:color w:val="188038"/>
          <w:sz w:val="20"/>
          <w:szCs w:val="20"/>
          <w:rtl w:val="0"/>
        </w:rPr>
        <w:t xml:space="preserve">scripts/deep_analysis.py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analysis/plot_figures.py</w:t>
      </w:r>
      <w:r>
        <w:rPr>
          <w:rFonts w:ascii="Times New Roman" w:cs="Times New Roman" w:eastAsia="Times New Roman" w:hAnsi="Times New Roman"/>
          <w:sz w:val="20"/>
          <w:szCs w:val="20"/>
          <w:rtl w:val="0"/>
        </w:rPr>
        <w:t xml:space="preserve">; the threshold-policy figure (</w:t>
      </w:r>
      <w:r>
        <w:rPr>
          <w:rFonts w:ascii="Times New Roman" w:cs="Times New Roman" w:eastAsia="Times New Roman" w:hAnsi="Times New Roman"/>
          <w:color w:val="188038"/>
          <w:sz w:val="20"/>
          <w:szCs w:val="20"/>
          <w:rtl w:val="0"/>
        </w:rPr>
        <w:t xml:space="preserve">fig7_threshold_policy</w:t>
      </w:r>
      <w:r>
        <w:rPr>
          <w:rFonts w:ascii="Times New Roman" w:cs="Times New Roman" w:eastAsia="Times New Roman" w:hAnsi="Times New Roman"/>
          <w:sz w:val="20"/>
          <w:szCs w:val="20"/>
          <w:rtl w:val="0"/>
        </w:rPr>
        <w:t xml:space="preserve">) is produced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reliability diagrams (</w:t>
      </w:r>
      <w:r>
        <w:rPr>
          <w:rFonts w:ascii="Times New Roman" w:cs="Times New Roman" w:eastAsia="Times New Roman" w:hAnsi="Times New Roman"/>
          <w:color w:val="188038"/>
          <w:sz w:val="20"/>
          <w:szCs w:val="20"/>
          <w:rtl w:val="0"/>
        </w:rPr>
        <w:t xml:space="preserve">fig8_reliability_diagrams</w:t>
      </w:r>
      <w:r>
        <w:rPr>
          <w:rFonts w:ascii="Times New Roman" w:cs="Times New Roman" w:eastAsia="Times New Roman" w:hAnsi="Times New Roman"/>
          <w:sz w:val="20"/>
          <w:szCs w:val="20"/>
          <w:rtl w:val="0"/>
        </w:rPr>
        <w:t xml:space="preserve">) are produced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 All figures are included in PDF and PNG.</w:t>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Revision-only artifacts (aligned-subset metrics, 15-bin equal-mass ECE, Brier scores, confidence histograms, cost/latency, Bonferroni/Holm tables) are produced by a single command, </w:t>
      </w:r>
      <w:r>
        <w:rPr>
          <w:rFonts w:ascii="Times New Roman" w:cs="Times New Roman" w:eastAsia="Times New Roman" w:hAnsi="Times New Roman"/>
          <w:color w:val="188038"/>
          <w:sz w:val="20"/>
          <w:szCs w:val="20"/>
          <w:rtl w:val="0"/>
        </w:rPr>
        <w:t xml:space="preserve">python3 scripts/revision_analysis.py</w:t>
      </w:r>
      <w:r>
        <w:rPr>
          <w:rFonts w:ascii="Times New Roman" w:cs="Times New Roman" w:eastAsia="Times New Roman" w:hAnsi="Times New Roman"/>
          <w:sz w:val="20"/>
          <w:szCs w:val="20"/>
          <w:rtl w:val="0"/>
        </w:rPr>
        <w:t xml:space="preserve">, and saved as </w:t>
      </w:r>
      <w:r>
        <w:rPr>
          <w:rFonts w:ascii="Times New Roman" w:cs="Times New Roman" w:eastAsia="Times New Roman" w:hAnsi="Times New Roman"/>
          <w:color w:val="188038"/>
          <w:sz w:val="20"/>
          <w:szCs w:val="20"/>
          <w:rtl w:val="0"/>
        </w:rPr>
        <w:t xml:space="preserve">results/revision_*.csv</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results/revision_summary.md</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Determine whether the task was completed</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successfully based on how the agent's final state compares with the reference.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against the expected outcome description above.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132–147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133–147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76" w:lineRule="auto"/>
        <w:jc w:val="center"/>
        <w:rPr/>
      </w:pPr>
      <w:r>
        <w:rPr/>
        <w:drawing>
          <wp:inline distB="0" distT="0" distL="114300" distR="114300">
            <wp:extent cx="2743200" cy="3241963"/>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241963"/>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Reddit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.805 (371/461)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.904 (208/230)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.832 (173/208)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.826 (385/466)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.828 (192/232)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.900 (189/210)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.815 (380/466)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.790 (184/233)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.867 (182/210)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.863 (397/460)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.813 (187/230)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.937 (192/205)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.768 (358/466)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.751 (175/233)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.871 (183/210)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valid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18.9%</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Without a reference, all three models see a "You added [product] to your shopping cart" confirmation banner and judge the task as successful, the page </w:t>
      </w:r>
      <w:r>
        <w:rPr>
          <w:rFonts w:ascii="Times New Roman" w:cs="Times New Roman" w:eastAsia="Times New Roman" w:hAnsi="Times New Roman"/>
          <w:i w:val="1"/>
          <w:iCs w:val="1"/>
          <w:sz w:val="20"/>
          <w:szCs w:val="20"/>
          <w:rtl w:val="0"/>
        </w:rPr>
        <w:t xml:space="preserve">looks correct</w:t>
      </w:r>
      <w:r>
        <w:rPr>
          <w:rFonts w:ascii="Times New Roman" w:cs="Times New Roman" w:eastAsia="Times New Roman" w:hAnsi="Times New Roman"/>
          <w:sz w:val="20"/>
          <w:szCs w:val="20"/>
          <w:rtl w:val="0"/>
        </w:rPr>
        <w:t xml:space="preserve">. With a text reference specifying the exact product name ("Modway EEI-2923-GRY-GRY Aura"), all three models immediately detect the mismatch. This exemplifies why text references are most effective for deceptive failures: they provide concrete assertions that convert "looks successful" into a verifiable checklist.</w:t>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tblGridChange w:id="0">
          <w:tblGrid>
            <w:gridCol w:w="2160"/>
            <w:gridCol w:w="216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C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This is a case where even the text reference fails to correct the model. The MCAT book page shows a cover image that does include "2020-2021" text, but it is the wrong listing (wrong URL, wrong specific edition). The model fixates on the visible cover image rather than verifying the page identity. This illustrates the limits of post-hoc verification: when the visual evidence genuinely matches the description, even reference-augmented verification fails.</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GPT-4.1 and Claude Sonnet 4 correctly identify that the wrong product was added; GPT-4.1 reports "The wish list contains the wrong product." Gemini 3.6 Flash is not rescued by the reference and still reports SUCCESS at confidence 10, which is consistent with its negligible aggregate A→B gain. This is the prototypical deceptive failure: correct action type (added to wish list), correct category (office chair), but wrong specific item.</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x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figures/fig7_threshold_policy.{pdf,png}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r>
        <w:rPr/>
        <w:drawing>
          <wp:inline distB="0" distT="0" distL="114300" distR="114300">
            <wp:extent cx="2743200" cy="712766"/>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2766"/>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scripts/generate_text_ref_variants.py (no API calls; deterministic) and the ablation is run by scripts/run_text_ref_ablation.py over a fixed-seed 100-instance subset, summarised by scripts/analyze_text_ref_ablation.py into results/textref_ablation_summary.csv. We evaluate GPT-4.1 Mini and Claude Sonnet 4, the model with the largest text-reference benefit and the most accurate verifier respectively. On this subset the majority-class (always-FAILURE) rate is 86.9%, and the full reference attains 84.8% accuracy / 0.595 F1 for GPT-4.1 Mini and 90.9% / 0.690 for Claude Sonnet 4.</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Results. Reference quality matters, and F1 rather than accuracy exposes it. Truncating the reference to its first sentence (short) costs GPT-4.1 Mini 0.231 F1 (0.595 → 0.364) and Claude Sonnet 4 0.157 F1 (0.690 → 0.533). Adding a distractor sentence (noisy) costs a further 0.031 and 0.019 F1 respectively, so verbosity is less damaging than omission. The wrong variant is the most instructive: accuracy rises to 86.0% (GPT-4.1 Mini) and 87.0% (Claude Sonnet 4), at or above the full-reference figure, while F1 collapses to 0.000 for both models. An off-topic reference does not merely fail to help; it drives the verifier to answer FAILURE on every instance, recovering the majority-class rate and losing all ability to recognise success. This is the same degenerate pattern seen in the SSIM baseline (Section 5.4), and it reinforces that accuracy alone is an unsafe headline metric on an 83.5%-FAILURE dataset. Practically, a verification pipeline that silently supplies a stale or mismatched reference would look accurate while having become useless.</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sz w:val="20"/>
          <w:szCs w:val="20"/>
        </w:rPr>
      </w:pPr>
      <w:bookmarkStart w:colFirst="0" w:colLast="0" w:name="_gqkfdeqri12q" w:id="21"/>
      <w:bookmarkEnd w:id="21"/>
      <w:r>
        <w:rPr>
          <w:rFonts w:ascii="Times New Roman" w:cs="Times New Roman" w:eastAsia="Times New Roman" w:hAnsi="Times New Roman"/>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Screenshots. Final-state screenshots from VWA agent trajectories are 1280x2048 PNG (portrait, 5:8 aspect ratio). They are sent to each provider without any resizing or compression, base64-encoded. Reference screenshots from human trajectories are 800x446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1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0"/>
        <w:gridCol w:w="720"/>
        <w:gridCol w:w="720"/>
        <w:gridCol w:w="720"/>
        <w:gridCol w:w="720"/>
        <w:gridCol w:w="720"/>
        <w:tblGridChange w:id="0">
          <w:tblGrid>
            <w:gridCol w:w="720"/>
            <w:gridCol w:w="720"/>
            <w:gridCol w:w="720"/>
            <w:gridCol w:w="720"/>
            <w:gridCol w:w="720"/>
            <w:gridCol w:w="7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format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Detail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Max output tokens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Temperature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 (gpt-4.1, mini,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data URL base64, </w:t>
            </w:r>
            <w:r>
              <w:rPr>
                <w:rFonts w:ascii="Times New Roman" w:cs="Times New Roman" w:eastAsia="Times New Roman" w:hAnsi="Times New Roman"/>
                <w:color w:val="188038"/>
                <w:sz w:val="20"/>
                <w:szCs w:val="20"/>
                <w:rtl w:val="0"/>
              </w:rPr>
              <w:t xml:space="preserve">image_url</w:t>
            </w:r>
            <w:r>
              <w:rPr>
                <w:rFonts w:ascii="Times New Roman" w:cs="Times New Roman" w:eastAsia="Times New Roman" w:hAnsi="Times New Roman"/>
                <w:sz w:val="20"/>
                <w:szCs w:val="20"/>
                <w:rtl w:val="0"/>
              </w:rPr>
              <w:t xml:space="preserve"> block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detail: "high"</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Direct API; provider may downscale internally above its native cap.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(claude-sonnet-4)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source: base64</w:t>
            </w:r>
            <w:r>
              <w:rPr>
                <w:rFonts w:ascii="Times New Roman" w:cs="Times New Roman" w:eastAsia="Times New Roman" w:hAnsi="Times New Roman"/>
                <w:sz w:val="20"/>
                <w:szCs w:val="20"/>
                <w:rtl w:val="0"/>
              </w:rPr>
              <w:t xml:space="preserve">, native PNG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 (native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auto-rescales to 1568px on the long edge if larger.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 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inline_data</w:t>
            </w:r>
            <w:r>
              <w:rPr>
                <w:rFonts w:ascii="Times New Roman" w:cs="Times New Roman" w:eastAsia="Times New Roman" w:hAnsi="Times New Roman"/>
                <w:sz w:val="20"/>
                <w:szCs w:val="20"/>
                <w:rtl w:val="0"/>
              </w:rPr>
              <w:t xml:space="preserve"> parts, base64</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4096</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does not accept exact 0; we use the smallest legal value. Gemini 3.x charges internal reasoning tokens against max_output_tokens, so a 512-token cap truncated most responses mid-JSON; we raise the cap to 4096 and request response_mime_type=application/json. The visible answer remains ~80 tokens, comparable to the other providers.</w:t>
            </w:r>
          </w:p>
        </w:tc>
      </w:tr>
    </w:tbl>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3 with exponential backoff (1s, 2s, 4s). Persistent failures are logged as </w:t>
      </w:r>
      <w:r>
        <w:rPr>
          <w:rFonts w:ascii="Times New Roman" w:cs="Times New Roman" w:eastAsia="Times New Roman" w:hAnsi="Times New Roman"/>
          <w:color w:val="188038"/>
          <w:sz w:val="20"/>
          <w:szCs w:val="20"/>
          <w:rtl w:val="0"/>
        </w:rPr>
        <w:t xml:space="preserve">verdict: API_ERROR</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of the full study is reported in Section 5.6 ($35.04 across 10,560 calls). Reproducing the entire study costs less than the cost of a single human evaluator-day at typical contractor rates, this is the practical sense in which the recommended intervention is &amp;amp;quot;low cost.&amp;amp;quot;</w:t>
      </w:r>
      <w:r>
        <w:rPr>
          <w:rFonts w:ascii="Times New Roman" w:cs="Times New Roman" w:eastAsia="Times New Roman" w:hAnsi="Times New Roman"/>
          <w:sz w:val="20"/>
          <w:szCs w:val="20"/>
          <w:rtl w:val="0"/>
        </w:rPr>
        <w:t xml:space="preserve"/>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sz w:val="20"/>
          <w:szCs w:val="20"/>
        </w:rPr>
      </w:pPr>
      <w:bookmarkStart w:colFirst="0" w:colLast="0" w:name="_be79miqmv2ma" w:id="22"/>
      <w:bookmarkEnd w:id="22"/>
      <w:r>
        <w:rPr>
          <w:rFonts w:ascii="Times New Roman" w:cs="Times New Roman" w:eastAsia="Times New Roman" w:hAnsi="Times New Roman"/>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results/S1_paired_tests.csv, with the matched instance IDs behind each test in results/S1_task_ids/. Bonferroni-significant pairs at α'=0.05/30=0.00167 (the same set survives Holm-Bonferroni step-down) are: GPT-4.1 Nano A→B; GPT-4.1 Mini A→B and A→D; GPT-4.1 A→B and B→C; Claude Sonnet 4 A→B. Four of the six are A→B comparisons, covering every model except Gemini 3.6 Flash, whose A→B change is not significant (p=0.450). Only one contrast involving visual references survives correction, GPT-4.1's B→C, so the earlier claim that visual references degrade most models does not hold at this significance threshold and is presented as suggestive in Section 5.1.</w:t>
      </w:r>
      <w:r>
        <w:rPr>
          <w:rFonts w:ascii="Times New Roman" w:cs="Times New Roman" w:eastAsia="Times New Roman" w:hAnsi="Times New Roman"/>
          <w:color w:val="188038"/>
          <w:sz w:val="20"/>
          <w:szCs w:val="20"/>
          <w:rtl w:val="0"/>
        </w:rPr>
        <w:t xml:space="preserve"/>
      </w:r>
      <w:r>
        <w:rPr>
          <w:rFonts w:ascii="Cardo" w:cs="Cardo" w:eastAsia="Cardo" w:hAnsi="Cardo"/>
          <w:sz w:val="20"/>
          <w:szCs w:val="20"/>
          <w:rtl w:val="0"/>
        </w:rPr>
        <w:t xml:space="preserve"/>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Landis, J.R., Koch, G.G. "The Measurement of Observer Agreement for Categorical Data." Biometrics 33(1):159-174, 1977. Available: https://www.jstor.org/stable/2529310</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