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4.4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A controlled comparison of reference modalities for LMM post-hoc verification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r>
        <w:rPr>
          <w:rFonts w:ascii="Times New Roman" w:cs="Times New Roman" w:eastAsia="Times New Roman" w:hAnsi="Times New Roman"/>
          <w:sz w:val="20"/>
          <w:szCs w:val="20"/>
          <w:rtl w:val="0"/>
        </w:rPr>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analysis</w:t>
      </w:r>
      <w:r>
        <w:rPr>
          <w:rFonts w:ascii="Times New Roman" w:cs="Times New Roman" w:eastAsia="Times New Roman" w:hAnsi="Times New Roman"/>
          <w:sz w:val="20"/>
          <w:szCs w:val="20"/>
          <w:rtl w:val="0"/>
        </w:rPr>
        <w:t xml:space="preserve"> revealing that references primarily help with the hardest cases: deceptive failures where the page appears correct but is semantically wrong, with text references providing 5–28pp accuracy gains on this critical subset.</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categorization is central to our analysis: we hypothesize that references should help most with deceptive failures.</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 For the 147 visual-reference instances we compute the Structural Similarity Index between each agent screenshot and its human reference screenshot. The two are resampled to a common 800x446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r>
        <w:rPr>
          <w:rFonts w:ascii="Times New Roman" w:cs="Times New Roman" w:eastAsia="Times New Roman" w:hAnsi="Times New Roman"/>
          <w:sz w:val="20"/>
          <w:szCs w:val="20"/>
          <w:rtl w:val="0"/>
        </w:rPr>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[.255,.389]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 [.812,.861]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 [.417,.557]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 [.599,.748]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 [.222,.500]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[.662,.810]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 [.200,.525]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[.607,.669]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[.344,.446]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 [.820,.867]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 [.546,.663]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 [.660,.803]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 [.179,.486]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[.694,.830]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 [.308,.613]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[.671,.731]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[.380,.490]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 [.796,.846]</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 [.477,.603]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 [.503,.667]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 [.244,.494]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 [.565,.721]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 [.270,.527]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 [.845,.889]</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 [.562,.688]</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 [.735,.871]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 [.441,.719]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[.677,.827]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 [.338,.630]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.779 [.754,.807]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.501 [.440,.559]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.788 [.760,.814]</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.514 [.453,.571]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.744</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 [.714,.850]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 [.373,.676]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 [.748,.871]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 [.421,.714]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 Condition B improves on Condition A by +6.2pp (Nano), +20.6pp (Mini), +12.1pp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r>
        <w:rPr>
          <w:rFonts w:ascii="Times New Roman" w:cs="Times New Roman" w:eastAsia="Times New Roman" w:hAnsi="Times New Roman"/>
          <w:sz w:val="20"/>
          <w:szCs w:val="20"/>
          <w:rtl w:val="0"/>
        </w:rPr>
        <w:t xml:space="preserve"/>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 Comparisons here use the aligned 147-instance subset (Table 5) so that A and C are measured on identical instances. Two models degrade: GPT-4.1 falls from 69.2% to 58.5% (−10.7pp) and GPT-4.1 Nano from 75.3% to 67.3% (−8.0pp). Two improve: GPT-4.1 Mini rises from 61.2% to 73.5% (+12.3pp)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r>
        <w:rPr>
          <w:rFonts w:ascii="Cardo" w:cs="Cardo" w:eastAsia="Cardo" w:hAnsi="Cardo"/>
          <w:sz w:val="20"/>
          <w:szCs w:val="20"/>
          <w:rtl w:val="0"/>
        </w:rPr>
        <w:t xml:space="preserve"/>
      </w:r>
      <w:r>
        <w:rPr>
          <w:rFonts w:ascii="Times New Roman" w:cs="Times New Roman" w:eastAsia="Times New Roman" w:hAnsi="Times New Roman"/>
          <w:i w:val="1"/>
          <w:iCs w:val="1"/>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rarely outperform text-only (B).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r>
        <w:rPr>
          <w:rFonts w:ascii="Cardo" w:cs="Cardo" w:eastAsia="Cardo" w:hAnsi="Cardo"/>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
              <w:t>χ²=17.8, p=2e-05*</w:t>
            </w:r>
          </w:p>
        </w:tc>
        <w:tc>
          <w:tcPr>
            <w:shd w:fill="auto" w:val="clear"/>
            <w:tcMar>
              <w:top w:w="100.0" w:type="dxa"/>
              <w:left w:w="100.0" w:type="dxa"/>
              <w:bottom w:w="100.0" w:type="dxa"/>
              <w:right w:w="100.0" w:type="dxa"/>
            </w:tcMar>
            <w:vAlign w:val="top"/>
          </w:tcPr>
          <w:p>
            <w:r>
              <w:t>χ²=2.9, p=0.091</w:t>
            </w:r>
          </w:p>
        </w:tc>
        <w:tc>
          <w:tcPr>
            <w:shd w:fill="auto" w:val="clear"/>
            <w:tcMar>
              <w:top w:w="100.0" w:type="dxa"/>
              <w:left w:w="100.0" w:type="dxa"/>
              <w:bottom w:w="100.0" w:type="dxa"/>
              <w:right w:w="100.0" w:type="dxa"/>
            </w:tcMar>
            <w:vAlign w:val="top"/>
          </w:tcPr>
          <w:p>
            <w:r>
              <w:t>χ²=7.5, p=0.006</w:t>
            </w:r>
          </w:p>
        </w:tc>
        <w:tc>
          <w:tcPr>
            <w:shd w:fill="auto" w:val="clear"/>
            <w:tcMar>
              <w:top w:w="100.0" w:type="dxa"/>
              <w:left w:w="100.0" w:type="dxa"/>
              <w:bottom w:w="100.0" w:type="dxa"/>
              <w:right w:w="100.0" w:type="dxa"/>
            </w:tcMar>
            <w:vAlign w:val="top"/>
          </w:tcPr>
          <w:p>
            <w:r>
              <w:t>χ²=2.9, p=0.091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
              <w:t>χ²=132.6, p=0e+00*</w:t>
            </w:r>
          </w:p>
        </w:tc>
        <w:tc>
          <w:tcPr>
            <w:shd w:fill="auto" w:val="clear"/>
            <w:tcMar>
              <w:top w:w="100.0" w:type="dxa"/>
              <w:left w:w="100.0" w:type="dxa"/>
              <w:bottom w:w="100.0" w:type="dxa"/>
              <w:right w:w="100.0" w:type="dxa"/>
            </w:tcMar>
            <w:vAlign w:val="top"/>
          </w:tcPr>
          <w:p>
            <w:r>
              <w:t>χ²=5.8, p=0.016</w:t>
            </w:r>
          </w:p>
        </w:tc>
        <w:tc>
          <w:tcPr>
            <w:shd w:fill="auto" w:val="clear"/>
            <w:tcMar>
              <w:top w:w="100.0" w:type="dxa"/>
              <w:left w:w="100.0" w:type="dxa"/>
              <w:bottom w:w="100.0" w:type="dxa"/>
              <w:right w:w="100.0" w:type="dxa"/>
            </w:tcMar>
            <w:vAlign w:val="top"/>
          </w:tcPr>
          <w:p>
            <w:r>
              <w:t>χ²=2.6, p=0.110</w:t>
            </w:r>
          </w:p>
        </w:tc>
        <w:tc>
          <w:tcPr>
            <w:shd w:fill="auto" w:val="clear"/>
            <w:tcMar>
              <w:top w:w="100.0" w:type="dxa"/>
              <w:left w:w="100.0" w:type="dxa"/>
              <w:bottom w:w="100.0" w:type="dxa"/>
              <w:right w:w="100.0" w:type="dxa"/>
            </w:tcMar>
            <w:vAlign w:val="top"/>
          </w:tcPr>
          <w:p>
            <w:r>
              <w:t>χ²=0.6, p=0.441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
              <w:t>χ²=60.0, p=9e-15*</w:t>
            </w:r>
          </w:p>
        </w:tc>
        <w:tc>
          <w:tcPr>
            <w:shd w:fill="auto" w:val="clear"/>
            <w:tcMar>
              <w:top w:w="100.0" w:type="dxa"/>
              <w:left w:w="100.0" w:type="dxa"/>
              <w:bottom w:w="100.0" w:type="dxa"/>
              <w:right w:w="100.0" w:type="dxa"/>
            </w:tcMar>
            <w:vAlign w:val="top"/>
          </w:tcPr>
          <w:p>
            <w:r>
              <w:t>χ²=5.0, p=0.025</w:t>
            </w:r>
          </w:p>
        </w:tc>
        <w:tc>
          <w:tcPr>
            <w:shd w:fill="auto" w:val="clear"/>
            <w:tcMar>
              <w:top w:w="100.0" w:type="dxa"/>
              <w:left w:w="100.0" w:type="dxa"/>
              <w:bottom w:w="100.0" w:type="dxa"/>
              <w:right w:w="100.0" w:type="dxa"/>
            </w:tcMar>
            <w:vAlign w:val="top"/>
          </w:tcPr>
          <w:p>
            <w:r>
              <w:t>χ²=16.0, p=6e-05*</w:t>
            </w:r>
          </w:p>
        </w:tc>
        <w:tc>
          <w:tcPr>
            <w:shd w:fill="auto" w:val="clear"/>
            <w:tcMar>
              <w:top w:w="100.0" w:type="dxa"/>
              <w:left w:w="100.0" w:type="dxa"/>
              <w:bottom w:w="100.0" w:type="dxa"/>
              <w:right w:w="100.0" w:type="dxa"/>
            </w:tcMar>
            <w:vAlign w:val="top"/>
          </w:tcPr>
          <w:p>
            <w:r>
              <w:t>χ²=8.2, p=0.004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
              <w:t>χ²=41.3, p=1e-10*</w:t>
            </w:r>
          </w:p>
        </w:tc>
        <w:tc>
          <w:tcPr>
            <w:shd w:fill="auto" w:val="clear"/>
            <w:tcMar>
              <w:top w:w="100.0" w:type="dxa"/>
              <w:left w:w="100.0" w:type="dxa"/>
              <w:bottom w:w="100.0" w:type="dxa"/>
              <w:right w:w="100.0" w:type="dxa"/>
            </w:tcMar>
            <w:vAlign w:val="top"/>
          </w:tcPr>
          <w:p>
            <w:r>
              <w:t>exact, p=0.832</w:t>
            </w:r>
          </w:p>
        </w:tc>
        <w:tc>
          <w:tcPr>
            <w:shd w:fill="auto" w:val="clear"/>
            <w:tcMar>
              <w:top w:w="100.0" w:type="dxa"/>
              <w:left w:w="100.0" w:type="dxa"/>
              <w:bottom w:w="100.0" w:type="dxa"/>
              <w:right w:w="100.0" w:type="dxa"/>
            </w:tcMar>
            <w:vAlign w:val="top"/>
          </w:tcPr>
          <w:p>
            <w:r>
              <w:t>exact, p=0.405</w:t>
            </w:r>
          </w:p>
        </w:tc>
        <w:tc>
          <w:tcPr>
            <w:shd w:fill="auto" w:val="clear"/>
            <w:tcMar>
              <w:top w:w="100.0" w:type="dxa"/>
              <w:left w:w="100.0" w:type="dxa"/>
              <w:bottom w:w="100.0" w:type="dxa"/>
              <w:right w:w="100.0" w:type="dxa"/>
            </w:tcMar>
            <w:vAlign w:val="top"/>
          </w:tcPr>
          <w:p>
            <w:r>
              <w:t>χ²=4.7, p=0.031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
              <w:t>χ²=0.6, p=0.450</w:t>
            </w:r>
          </w:p>
        </w:tc>
        <w:tc>
          <w:tcPr>
            <w:shd w:fill="auto" w:val="clear"/>
            <w:tcMar>
              <w:top w:w="100.0" w:type="dxa"/>
              <w:left w:w="100.0" w:type="dxa"/>
              <w:bottom w:w="100.0" w:type="dxa"/>
              <w:right w:w="100.0" w:type="dxa"/>
            </w:tcMar>
            <w:vAlign w:val="top"/>
          </w:tcPr>
          <w:p>
            <w:r>
              <w:t>exact, p=1.000</w:t>
            </w:r>
          </w:p>
        </w:tc>
        <w:tc>
          <w:tcPr>
            <w:shd w:fill="auto" w:val="clear"/>
            <w:tcMar>
              <w:top w:w="100.0" w:type="dxa"/>
              <w:left w:w="100.0" w:type="dxa"/>
              <w:bottom w:w="100.0" w:type="dxa"/>
              <w:right w:w="100.0" w:type="dxa"/>
            </w:tcMar>
            <w:vAlign w:val="top"/>
          </w:tcPr>
          <w:p>
            <w:r>
              <w:t>exact, p=0.332</w:t>
            </w:r>
          </w:p>
        </w:tc>
        <w:tc>
          <w:tcPr>
            <w:shd w:fill="auto" w:val="clear"/>
            <w:tcMar>
              <w:top w:w="100.0" w:type="dxa"/>
              <w:left w:w="100.0" w:type="dxa"/>
              <w:bottom w:w="100.0" w:type="dxa"/>
              <w:right w:w="100.0" w:type="dxa"/>
            </w:tcMar>
            <w:vAlign w:val="top"/>
          </w:tcPr>
          <w:p>
            <w: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Cardo" w:cs="Cardo" w:eastAsia="Cardo" w:hAnsi="Cardo"/>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.748</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cross-generator results show a more nuanced picture than the original A→B comparison: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6: Cross-generator results (Claude Sonnet 4 references, 147-subset). Acc=accuracy, lift=A−B difference, McNemar p-value vs. A.</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500"/>
        <w:gridCol w:w="640"/>
        <w:gridCol w:w="640"/>
        <w:gridCol w:w="640"/>
        <w:gridCol w:w="8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McNemar 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No model shows significant benefit when evaluation criteria are removed:</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7: No-criteria ablation results. Same format as Table 6. All values on the 147-subset.</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500"/>
        <w:gridCol w:w="640"/>
        <w:gridCol w:w="640"/>
        <w:gridCol w:w="640"/>
        <w:gridCol w:w="8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McNemar 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t>5.3 Failure Type Analysis (Exploratory)</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hypothesize that references should help most with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cases where the final page looks plausible but is semantically incorrect. Table 3 tests this hypothesis.</w:t>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vs. Condition B (text reference).</w:t>
      </w:r>
      <w:r>
        <w:rPr>
          <w:rFonts w:ascii="Times New Roman" w:cs="Times New Roman" w:eastAsia="Times New Roman" w:hAnsi="Times New Roman"/>
          <w:sz w:val="20"/>
          <w:szCs w:val="20"/>
          <w:rtl w:val="0"/>
        </w:rPr>
        <w:t xml:space="preserve"> Δ shows the improvement from adding a text reference.</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.830 (+.065)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.925 (+.085)</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(+.279)</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(+.164)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.812 (+.040)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.868 (+.128)</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.980 (+.089)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.724 (+.013)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 (+.014)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results confirm our hypothesis with a nuance:</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4: Text references provide the largest absolute gains on deceptive failures. Across all models, deceptive failure accuracy improves by 5.2–27.9 percentage points with text references. For GPT-4.1 Mini, accuracy on deceptive failures increases by about 1.5-fold from 56.1% to 84.0%. </w:t>
      </w:r>
      <w:r>
        <w:rPr>
          <w:rFonts w:ascii="Times New Roman" w:cs="Times New Roman" w:eastAsia="Times New Roman" w:hAnsi="Times New Roman"/>
          <w:sz w:val="20"/>
          <w:szCs w:val="20"/>
          <w:rtl w:val="0"/>
        </w:rPr>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However, the pattern varies by model capability. For GPT-4.1 Mini and GPT-4.1 (GPT-4.1 Mini and GPT-4.1), the gains are actually largest on obvious failures (+34.0pp and +25.0pp respectively), suggesting these models struggle even with clear failures in Condition A and benefit from any grounding signal. The frontier models (GPT-4.1 Nano, Claude, Gemini) already handle obvious failures well in Condition A and show their gains concentrated on the deceptive category. Gemini's smaller deceptive gain (+5.2pp) reflects its already-high baseline accuracy on deceptive failures (85.7%), it is harder to improve what is already strong.</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.280 / .314 / .327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 / .306 / .312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.173 / .199 / .231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 / .160 / .206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 / .413 / .414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 .340 / .353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 / .030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 / .046 / .106</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.033 / .099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.068 / .118 / .171</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.184 / .178 / .204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 / .184 / .203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.197 / .183 / .207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Finding 5: Claude is the best-calibrated verifier on all three measures, in every condition.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br/>
        <w:br/>
        <w:br/>
        <w:t>Figure 5: Calibration reliability diagrams for Conditions A and B across all five models.</w:t>
      </w:r>
      <w:r>
        <w:rPr>
          <w:rFonts w:ascii="Times New Roman" w:cs="Times New Roman" w:eastAsia="Times New Roman" w:hAnsi="Times New Roman"/>
          <w:sz w:val="20"/>
          <w:szCs w:val="20"/>
          <w:rtl w:val="0"/>
        </w:rPr>
      </w:r>
      <w:r>
        <w:rPr/>
      </w:r>
      <w:r>
        <w:rPr>
          <w:rtl w:val="0"/>
        </w:rPr>
      </w:r>
      <w:r>
        <w:rPr>
          <w:rFonts w:ascii="Times New Roman" w:cs="Times New Roman" w:eastAsia="Times New Roman" w:hAnsi="Times New Roman"/>
          <w:sz w:val="20"/>
          <w:szCs w:val="20"/>
          <w:rtl w:val="0"/>
        </w:rPr>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(&gt;99% of instances in the highest bin; full per-model histograms in </w:t>
      </w:r>
      <w:r>
        <w:rPr>
          <w:rFonts w:ascii="Times New Roman" w:cs="Times New Roman" w:eastAsia="Times New Roman" w:hAnsi="Times New Roman"/>
          <w:color w:val="188038"/>
          <w:sz w:val="20"/>
          <w:szCs w:val="20"/>
          <w:rtl w:val="0"/>
        </w:rPr>
        <w:t xml:space="preserve">results/revision_confidence_histogram.csv</w:t>
      </w:r>
      <w:r>
        <w:rPr>
          <w:rFonts w:ascii="Times New Roman" w:cs="Times New Roman" w:eastAsia="Times New Roman" w:hAnsi="Times New Roman"/>
          <w:sz w:val="20"/>
          <w:szCs w:val="20"/>
          <w:rtl w:val="0"/>
        </w:rPr>
        <w:t xml:space="preserve">),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w:t>
      </w:r>
      <w:r>
        <w:rPr>
          <w:rFonts w:ascii="Times New Roman" w:cs="Times New Roman" w:eastAsia="Times New Roman" w:hAnsi="Times New Roman"/>
          <w:b w:val="1"/>
          <w:bCs w:val="1"/>
          <w:sz w:val="20"/>
          <w:szCs w:val="20"/>
          <w:rtl w:val="0"/>
        </w:rPr>
        <w:t xml:space="preserve">Reliability diagrams are reported as Figure 8 (</w:t>
      </w:r>
      <w:r>
        <w:rPr>
          <w:rFonts w:ascii="Times New Roman" w:cs="Times New Roman" w:eastAsia="Times New Roman" w:hAnsi="Times New Roman"/>
          <w:b w:val="1"/>
          <w:bCs w:val="1"/>
          <w:color w:val="188038"/>
          <w:sz w:val="20"/>
          <w:szCs w:val="20"/>
          <w:rtl w:val="0"/>
        </w:rPr>
        <w:t xml:space="preserve">figures/fig8_reliability_diagrams.{pdf,png}</w:t>
      </w:r>
      <w:r>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 GPT-4.1 Nano $0.75, GPT-4.1 Mini $2.15, GPT-4.1 $7.51, Claude Sonnet 4 $21.75, Gemini 3.6 Flash $2.88. Per-call cost ranges from $0.00029 (GPT-4.1 Nano) to $0.0100 (Claude Sonnet 4). Mean per-call latency in Condition B ranges from 3.2s (GPT-4.1 Mini) to 8.3s (Gemini 3.6 Flash). Adding a text reference (A→B) increases per-call cost by less than 10% on average and per-call latency negligibly, supporting the practical recommendation in Section 6: text references are a near-zero-cost upgrade.</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9: Estimated cost and latency for verifying 909 instances. Text-only verification assumes ~538 input tokens and ~200 output tokens per instance.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Visual references add modest cost ($0.14–$7.27 per model) but do not improve verification accuracy, confirming that text references with evaluation criteria are sufficient for most use cases.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[26].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Invest in text reference generation with evaluation criteria.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r>
        <w:rPr>
          <w:rFonts w:ascii="Times New Roman" w:cs="Times New Roman" w:eastAsia="Times New Roman" w:hAnsi="Times New Roman"/>
          <w:sz w:val="20"/>
          <w:szCs w:val="20"/>
          <w:rtl w:val="0"/>
        </w:rPr>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 Visual references should be tested per-model before deployment: they harm GPT-4.1 and GPT-4.1 Nano, help GPT-4.1 Mini and Claude Sonnet 4, and leave Gemini essentially unchanged.</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Consider targeted verification for deceptive failures. While text references showed the largest absolute gains on deceptive failures in the original self-generated comparison, this finding is exploratory: the three-category failure taxonomy has not yet been validated by a two-annotator agreement study [IAA-PENDING: Cohen's kappa to be inserted], and the effect may not generalize under cross-generator evaluation.</w:t>
      </w:r>
      <w:r>
        <w:rPr>
          <w:rFonts w:ascii="Times New Roman" w:cs="Times New Roman" w:eastAsia="Times New Roman" w:hAnsi="Times New Roman"/>
          <w:sz w:val="20"/>
          <w:szCs w:val="20"/>
          <w:rtl w:val="0"/>
        </w:rPr>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 Failure-type categorization is partly subjective; we provide a labeling protocol description and representative examples (Appendix E). To support a defensible inter-annotator agreement (IAA) figure we ship the labeling interface in iaa_labeling/, which serves a 100-instance double-labeling subset over the three-category taxonomy (obvious / deceptive / partial) and scripts/recompute_iaa.py, which computes Cohen's kappa [27] with the Landis and Koch interpretation [28] together with the full confusion matrix. A two-annotator study over the three-category taxonomy is in progress and its agreement figure will be reported in Section 5.3 [IAA-PENDING: Cohen's kappa, confusion matrix, and per-annotator label distributions to be inserted]. An earlier two-category pilot (failed / partial only) reached Cohen's kappa = 0.116, which is slight agreement and does not speak to the three-category taxonomy the paper uses. Until the three-category study is complete, the failure-type taxonomy should be treated as exploratory, with the labeling protocol and representative examples given in Appendix E. Verification is judged from a single final screenshot, which precludes detection of multi-step trajectory errors. Confidence is model-self-reported, which is a noisier elicitation than internal-logit methods [18], [19] and should be interpreted only after calibration analysis (Section 5.5).</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x 6 condition pairs) at family-wise α=0.05; 6 of 30 tests are significant under both corrections (Appendix I, results/revision_bonferroni.csv). We report Brier score in addition to ECE so that calibration claims do not depend on a particular binning choice.</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have presented a controlled study of reference-augmented LMM post-hoc verification for web agents. Across 909 VisualWebArena trajectories, four reference conditions, and five frontier closed-API models from three families, three findings hold consistently in this setting: text references significantly and uniformly improve verification, visual references degrade most models on the visual-reference subset, and adding a reference screenshot on top of a text reference does not help.</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with the largest gains on the hardest, "deceptive", failure cases. The benefit is not universal: Gemini 3.6 Flash gains only 0.9pp, which is not significant.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all paper figures (</w:t>
      </w:r>
      <w:r>
        <w:rPr>
          <w:rFonts w:ascii="Times New Roman" w:cs="Times New Roman" w:eastAsia="Times New Roman" w:hAnsi="Times New Roman"/>
          <w:color w:val="188038"/>
          <w:sz w:val="20"/>
          <w:szCs w:val="20"/>
          <w:rtl w:val="0"/>
        </w:rPr>
        <w:t xml:space="preserve">fig1</w:t>
      </w:r>
      <w:r>
        <w:rPr>
          <w:rFonts w:ascii="Times New Roman" w:cs="Times New Roman" w:eastAsia="Times New Roman" w:hAnsi="Times New Roman"/>
          <w:sz w:val="20"/>
          <w:szCs w:val="20"/>
          <w:rtl w:val="0"/>
        </w:rPr>
        <w:t xml:space="preserve">-</w:t>
      </w:r>
      <w:r>
        <w:rPr>
          <w:rFonts w:ascii="Times New Roman" w:cs="Times New Roman" w:eastAsia="Times New Roman" w:hAnsi="Times New Roman"/>
          <w:color w:val="188038"/>
          <w:sz w:val="20"/>
          <w:szCs w:val="20"/>
          <w:rtl w:val="0"/>
        </w:rPr>
        <w:t xml:space="preserve">fig6</w:t>
      </w:r>
      <w:r>
        <w:rPr>
          <w:rFonts w:ascii="Times New Roman" w:cs="Times New Roman" w:eastAsia="Times New Roman" w:hAnsi="Times New Roman"/>
          <w:sz w:val="20"/>
          <w:szCs w:val="20"/>
          <w:rtl w:val="0"/>
        </w:rPr>
        <w:t xml:space="preserve">) are regenerated by </w:t>
      </w:r>
      <w:r>
        <w:rPr>
          <w:rFonts w:ascii="Times New Roman" w:cs="Times New Roman" w:eastAsia="Times New Roman" w:hAnsi="Times New Roman"/>
          <w:color w:val="188038"/>
          <w:sz w:val="20"/>
          <w:szCs w:val="20"/>
          <w:rtl w:val="0"/>
        </w:rPr>
        <w:t xml:space="preserve">scripts/deep_analysis.py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analysis/plot_figures.py</w:t>
      </w:r>
      <w:r>
        <w:rPr>
          <w:rFonts w:ascii="Times New Roman" w:cs="Times New Roman" w:eastAsia="Times New Roman" w:hAnsi="Times New Roman"/>
          <w:sz w:val="20"/>
          <w:szCs w:val="20"/>
          <w:rtl w:val="0"/>
        </w:rPr>
        <w:t xml:space="preserve">; the threshold-policy figure (</w:t>
      </w:r>
      <w:r>
        <w:rPr>
          <w:rFonts w:ascii="Times New Roman" w:cs="Times New Roman" w:eastAsia="Times New Roman" w:hAnsi="Times New Roman"/>
          <w:color w:val="188038"/>
          <w:sz w:val="20"/>
          <w:szCs w:val="20"/>
          <w:rtl w:val="0"/>
        </w:rPr>
        <w:t xml:space="preserve">fig7_threshold_policy</w:t>
      </w:r>
      <w:r>
        <w:rPr>
          <w:rFonts w:ascii="Times New Roman" w:cs="Times New Roman" w:eastAsia="Times New Roman" w:hAnsi="Times New Roman"/>
          <w:sz w:val="20"/>
          <w:szCs w:val="20"/>
          <w:rtl w:val="0"/>
        </w:rPr>
        <w:t xml:space="preserve">) is produced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reliability diagrams (</w:t>
      </w:r>
      <w:r>
        <w:rPr>
          <w:rFonts w:ascii="Times New Roman" w:cs="Times New Roman" w:eastAsia="Times New Roman" w:hAnsi="Times New Roman"/>
          <w:color w:val="188038"/>
          <w:sz w:val="20"/>
          <w:szCs w:val="20"/>
          <w:rtl w:val="0"/>
        </w:rPr>
        <w:t xml:space="preserve">fig8_reliability_diagrams</w:t>
      </w:r>
      <w:r>
        <w:rPr>
          <w:rFonts w:ascii="Times New Roman" w:cs="Times New Roman" w:eastAsia="Times New Roman" w:hAnsi="Times New Roman"/>
          <w:sz w:val="20"/>
          <w:szCs w:val="20"/>
          <w:rtl w:val="0"/>
        </w:rPr>
        <w:t xml:space="preserve">) are produced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 All figures are included in PDF and PNG.</w:t>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Revision-only artifacts (aligned-subset metrics, 15-bin equal-mass ECE, Brier scores, confidence histograms, cost/latency, Bonferroni/Holm tables) are produced by a single command, </w:t>
      </w:r>
      <w:r>
        <w:rPr>
          <w:rFonts w:ascii="Times New Roman" w:cs="Times New Roman" w:eastAsia="Times New Roman" w:hAnsi="Times New Roman"/>
          <w:color w:val="188038"/>
          <w:sz w:val="20"/>
          <w:szCs w:val="20"/>
          <w:rtl w:val="0"/>
        </w:rPr>
        <w:t xml:space="preserve">python3 scripts/revision_analysis.py</w:t>
      </w:r>
      <w:r>
        <w:rPr>
          <w:rFonts w:ascii="Times New Roman" w:cs="Times New Roman" w:eastAsia="Times New Roman" w:hAnsi="Times New Roman"/>
          <w:sz w:val="20"/>
          <w:szCs w:val="20"/>
          <w:rtl w:val="0"/>
        </w:rPr>
        <w:t xml:space="preserve">, and saved as </w:t>
      </w:r>
      <w:r>
        <w:rPr>
          <w:rFonts w:ascii="Times New Roman" w:cs="Times New Roman" w:eastAsia="Times New Roman" w:hAnsi="Times New Roman"/>
          <w:color w:val="188038"/>
          <w:sz w:val="20"/>
          <w:szCs w:val="20"/>
          <w:rtl w:val="0"/>
        </w:rPr>
        <w:t xml:space="preserve">results/revision_*.csv</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results/revision_summary.md</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.768 (358/466)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.751 (175/233)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Without a reference, all three models see a "You added [product] to your shopping cart" confirmation banner and judge the task as successful, the page </w:t>
      </w:r>
      <w:r>
        <w:rPr>
          <w:rFonts w:ascii="Times New Roman" w:cs="Times New Roman" w:eastAsia="Times New Roman" w:hAnsi="Times New Roman"/>
          <w:i w:val="1"/>
          <w:iCs w:val="1"/>
          <w:sz w:val="20"/>
          <w:szCs w:val="20"/>
          <w:rtl w:val="0"/>
        </w:rPr>
        <w:t xml:space="preserve">looks correct</w:t>
      </w:r>
      <w:r>
        <w:rPr>
          <w:rFonts w:ascii="Times New Roman" w:cs="Times New Roman" w:eastAsia="Times New Roman" w:hAnsi="Times New Roman"/>
          <w:sz w:val="20"/>
          <w:szCs w:val="20"/>
          <w:rtl w:val="0"/>
        </w:rPr>
        <w:t xml:space="preserve">. With a text reference specifying the exact product name ("Modway EEI-2923-GRY-GRY Aura"), all three models immediately detect the mismatch. This exemplifies why text references are most effective for deceptive failures: they provide concrete assertions that convert "looks successful" into a verifiable checklist.</w:t>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figures/fig7_threshold_policy.{pdf,png}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Screenshots. Final-state screenshots from VWA agent trajectories are 1280x2048 PNG (portrait, 5:8 aspect ratio). They are sent to each provider without any resizing or compression,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 Gemini 3.x charges internal reasoning tokens against max_output_tokens, so a 512-token cap truncated most responses mid-JSON; we raise the cap to 4096 and request response_mime_type=application/json. The visible answer remains ~80 tokens, comparable to the other providers.</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&amp;amp;quot;low cost.&amp;amp;quot;</w:t>
      </w:r>
      <w:r>
        <w:rPr>
          <w:rFonts w:ascii="Times New Roman" w:cs="Times New Roman" w:eastAsia="Times New Roman" w:hAnsi="Times New Roman"/>
          <w:sz w:val="20"/>
          <w:szCs w:val="20"/>
          <w:rtl w:val="0"/>
        </w:rPr>
        <w:t xml:space="preserve"/>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