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Reviewers</w:t>
      </w:r>
    </w:p>
    <w:p>
      <w:pPr>
        <w:pStyle w:val="BodyText"/>
      </w:pPr>
      <w:r>
        <w:rPr>
          <w:b/>
          <w:bCs/>
        </w:rPr>
        <w:t xml:space="preserve">Original Manuscript ID:</w:t>
      </w:r>
      <w:r>
        <w:t xml:space="preserve"> </w:t>
      </w:r>
      <w:r>
        <w:t xml:space="preserve">Access-2026-32332</w:t>
      </w:r>
    </w:p>
    <w:p>
      <w:pPr>
        <w:pStyle w:val="BodyText"/>
      </w:pPr>
      <w:r>
        <w:rPr>
          <w:b/>
          <w:bCs/>
        </w:rPr>
        <w:t xml:space="preserve">Original Article Title:</w:t>
      </w:r>
      <w:r>
        <w:t xml:space="preserve"> </w:t>
      </w:r>
      <w:r>
        <w:t xml:space="preserve">Can LLM Web Agents Verify Their Own Work? The Role of Visual and Textual References in Self-Verification</w:t>
      </w:r>
    </w:p>
    <w:p>
      <w:pPr>
        <w:pStyle w:val="BodyText"/>
      </w:pPr>
      <w:r>
        <w:rPr>
          <w:b/>
          <w:bCs/>
        </w:rPr>
        <w:t xml:space="preserve">Revised Title:</w:t>
      </w:r>
      <w:r>
        <w:t xml:space="preserve"> </w:t>
      </w:r>
      <w:r>
        <w:t xml:space="preserve">Can LLM Web Agents Verify Their Own Work? The Role of Visual and Textual References in Post-Hoc Verification</w:t>
      </w:r>
    </w:p>
    <w:p>
      <w:pPr>
        <w:pStyle w:val="BodyText"/>
      </w:pPr>
      <w:r>
        <w:rPr>
          <w:b/>
          <w:bCs/>
        </w:rPr>
        <w:t xml:space="preserve">To:</w:t>
      </w:r>
      <w:r>
        <w:t xml:space="preserve"> </w:t>
      </w:r>
      <w:r>
        <w:t xml:space="preserve">IEEE Access Editor</w:t>
      </w:r>
    </w:p>
    <w:p>
      <w:pPr>
        <w:pStyle w:val="BodyText"/>
      </w:pPr>
      <w:r>
        <w:rPr>
          <w:b/>
          <w:bCs/>
        </w:rPr>
        <w:t xml:space="preserve">Re:</w:t>
      </w:r>
      <w:r>
        <w:t xml:space="preserve"> </w:t>
      </w:r>
      <w:r>
        <w:t xml:space="preserve">Response to reviewers (R1)</w:t>
      </w:r>
    </w:p>
    <w:p>
      <w:pPr>
        <w:pStyle w:val="BodyText"/>
      </w:pPr>
      <w:r>
        <w:t xml:space="preserve">Dear Editor and Reviewers,</w:t>
      </w:r>
    </w:p>
    <w:p>
      <w:pPr>
        <w:pStyle w:val="BodyText"/>
      </w:pPr>
      <w:r>
        <w:t xml:space="preserve">We thank the reviewers for their thorough and constructive feedback. Every concern is addressed below with new experiments and manuscript revisions.</w:t>
      </w:r>
    </w:p>
    <w:p>
      <w:pPr>
        <w:pStyle w:val="BodyText"/>
      </w:pPr>
      <w:r>
        <w:t xml:space="preserve">This revision also reports three corrections that we identified ourselves while preparing the resubmission. Two of them change results, and we describe them in full rather than folding them silently into the numbers. We would rather present a smaller, well-supported set of claims than preserve the original ones.</w:t>
      </w:r>
    </w:p>
    <w:p>
      <w:pPr>
        <w:pStyle w:val="BodyText"/>
      </w:pPr>
      <w:r>
        <w:rPr>
          <w:b/>
          <w:bCs/>
        </w:rPr>
        <w:t xml:space="preserve">Summary of changes</w:t>
      </w:r>
    </w:p>
    <w:p>
      <w:pPr>
        <w:pStyle w:val="Compact"/>
        <w:numPr>
          <w:ilvl w:val="0"/>
          <w:numId w:val="1001"/>
        </w:numPr>
      </w:pPr>
      <w:r>
        <w:t xml:space="preserve">Renamed</w:t>
      </w:r>
      <w:r>
        <w:t xml:space="preserve"> </w:t>
      </w:r>
      <w:r>
        <w:t xml:space="preserve">“self-verification”</w:t>
      </w:r>
      <w:r>
        <w:t xml:space="preserve"> </w:t>
      </w:r>
      <w:r>
        <w:t xml:space="preserve">to</w:t>
      </w:r>
      <w:r>
        <w:t xml:space="preserve"> </w:t>
      </w:r>
      <w:r>
        <w:t xml:space="preserve">“post-hoc verification”</w:t>
      </w:r>
      <w:r>
        <w:t xml:space="preserve"> </w:t>
      </w:r>
      <w:r>
        <w:t xml:space="preserve">throughout.</w:t>
      </w:r>
    </w:p>
    <w:p>
      <w:pPr>
        <w:pStyle w:val="Compact"/>
        <w:numPr>
          <w:ilvl w:val="0"/>
          <w:numId w:val="1001"/>
        </w:numPr>
      </w:pPr>
      <w:r>
        <w:t xml:space="preserve">Cross-generator experiment re-run for all five verifiers on committed reference datasets.</w:t>
      </w:r>
    </w:p>
    <w:p>
      <w:pPr>
        <w:pStyle w:val="Compact"/>
        <w:numPr>
          <w:ilvl w:val="0"/>
          <w:numId w:val="1001"/>
        </w:numPr>
      </w:pPr>
      <w:r>
        <w:t xml:space="preserve">No-criteria ablation corrected so that it isolates the evaluation criteria (see C-3).</w:t>
      </w:r>
    </w:p>
    <w:p>
      <w:pPr>
        <w:pStyle w:val="Compact"/>
        <w:numPr>
          <w:ilvl w:val="0"/>
          <w:numId w:val="1001"/>
        </w:numPr>
      </w:pPr>
      <w:r>
        <w:t xml:space="preserve">All 30 paired comparisons recomputed on jointly valid instances (6 of 30 Bonferroni-significant).</w:t>
      </w:r>
    </w:p>
    <w:p>
      <w:pPr>
        <w:pStyle w:val="Compact"/>
        <w:numPr>
          <w:ilvl w:val="0"/>
          <w:numId w:val="1001"/>
        </w:numPr>
      </w:pPr>
      <w:r>
        <w:t xml:space="preserve">Text-reference quality ablation now measured rather than described (Appendix G).</w:t>
      </w:r>
    </w:p>
    <w:p>
      <w:pPr>
        <w:pStyle w:val="Compact"/>
        <w:numPr>
          <w:ilvl w:val="0"/>
          <w:numId w:val="1001"/>
        </w:numPr>
      </w:pPr>
      <w:r>
        <w:t xml:space="preserve">Non-LLM baselines reported with the threshold rule stated explicitly (Section 5.4).</w:t>
      </w:r>
    </w:p>
    <w:p>
      <w:pPr>
        <w:pStyle w:val="Compact"/>
        <w:numPr>
          <w:ilvl w:val="0"/>
          <w:numId w:val="1001"/>
        </w:numPr>
      </w:pPr>
      <w:r>
        <w:t xml:space="preserve">Condition C/D prompt corrected to match the documented protocol, and both conditions re-run (C-1).</w:t>
      </w:r>
    </w:p>
    <w:p>
      <w:pPr>
        <w:pStyle w:val="Compact"/>
        <w:numPr>
          <w:ilvl w:val="0"/>
          <w:numId w:val="1001"/>
        </w:numPr>
      </w:pPr>
      <w:r>
        <w:t xml:space="preserve">Gemini verifier replaced after the original model was retired by the provider (C-2).</w:t>
      </w:r>
    </w:p>
    <w:p>
      <w:pPr>
        <w:pStyle w:val="Compact"/>
        <w:numPr>
          <w:ilvl w:val="0"/>
          <w:numId w:val="1001"/>
        </w:numPr>
      </w:pPr>
      <w:r>
        <w:t xml:space="preserve">Matched task-ID lists released for every paired test.</w:t>
      </w:r>
    </w:p>
    <w:p>
      <w:pPr>
        <w:pStyle w:val="Compact"/>
        <w:numPr>
          <w:ilvl w:val="0"/>
          <w:numId w:val="1001"/>
        </w:numPr>
      </w:pPr>
      <w:r>
        <w:t xml:space="preserve">Inter-annotator agreement: two-annotator study completed, Cohen’s kappa 0.000; failure-type claims withdrawn (see R2-6).</w:t>
      </w:r>
    </w:p>
    <w:p>
      <w:r>
        <w:pict>
          <v:rect style="width:0;height:1.5pt" o:hralign="center" o:hrstd="t" o:hr="t"/>
        </w:pict>
      </w:r>
    </w:p>
    <w:p>
      <w:pPr>
        <w:pStyle w:val="FirstParagraph"/>
      </w:pPr>
      <w:r>
        <w:rPr>
          <w:b/>
          <w:bCs/>
        </w:rPr>
        <w:t xml:space="preserve">Corrections identified during resubmission</w:t>
      </w:r>
    </w:p>
    <w:p>
      <w:pPr>
        <w:pStyle w:val="BodyText"/>
      </w:pPr>
      <w:r>
        <w:rPr>
          <w:b/>
          <w:bCs/>
        </w:rPr>
        <w:t xml:space="preserve">C-1. Condition C/D prompt did not match the documented protocol.</w:t>
      </w:r>
    </w:p>
    <w:p>
      <w:pPr>
        <w:pStyle w:val="BodyText"/>
      </w:pPr>
      <w:r>
        <w:t xml:space="preserve">The implementation described the first image to the verifier as</w:t>
      </w:r>
      <w:r>
        <w:t xml:space="preserve"> </w:t>
      </w:r>
      <w:r>
        <w:t xml:space="preserve">“the reference state (what the page looked like before the agent started)”</w:t>
      </w:r>
      <w:r>
        <w:t xml:space="preserve">. That description is wrong: the reference is the</w:t>
      </w:r>
      <w:r>
        <w:t xml:space="preserve"> </w:t>
      </w:r>
      <w:r>
        <w:rPr>
          <w:i/>
          <w:iCs/>
        </w:rPr>
        <w:t xml:space="preserve">final</w:t>
      </w:r>
      <w:r>
        <w:t xml:space="preserve"> </w:t>
      </w:r>
      <w:r>
        <w:t xml:space="preserve">page state of a human demonstration that completed the task, and the 147-instance subset is defined precisely by which instances have such a demonstration. Appendix A of the original submission already described the reference correctly, so the code and the documented protocol disagreed.</w:t>
      </w:r>
    </w:p>
    <w:p>
      <w:pPr>
        <w:pStyle w:val="BodyText"/>
      </w:pPr>
      <w:r>
        <w:t xml:space="preserve">We corrected the implementation to match Appendix A and re-ran Conditions C and D for all five verifiers. Condition C accuracy rises for every model, by 4.4 to 5.1 percentage points; Condition D is almost unchanged, as expected, since it also supplies a textual description of the expected outcome. All Condition C and D numbers in this revision use the corrected prompt. The pre-correction runs are retained in the repository under</w:t>
      </w:r>
      <w:r>
        <w:t xml:space="preserve"> </w:t>
      </w:r>
      <w:r>
        <w:rPr>
          <w:rStyle w:val="VerbatimChar"/>
        </w:rPr>
        <w:t xml:space="preserve">archive/cd_original_prompt/</w:t>
      </w:r>
      <w:r>
        <w:t xml:space="preserve">.</w:t>
      </w:r>
    </w:p>
    <w:p>
      <w:pPr>
        <w:pStyle w:val="BodyText"/>
      </w:pPr>
      <w:r>
        <w:rPr>
          <w:b/>
          <w:bCs/>
        </w:rPr>
        <w:t xml:space="preserve">C-2. The Gemini verifier was retired by the provider.</w:t>
      </w:r>
    </w:p>
    <w:p>
      <w:pPr>
        <w:pStyle w:val="BodyText"/>
      </w:pPr>
      <w:r>
        <w:rPr>
          <w:rStyle w:val="VerbatimChar"/>
        </w:rPr>
        <w:t xml:space="preserve">gemini-2.5-flash</w:t>
      </w:r>
      <w:r>
        <w:t xml:space="preserve">, evaluated in the original submission, now returns HTTP 404 for newly issued API keys and its per-instance outputs were not preserved, so those results are no longer reproducible. We substituted</w:t>
      </w:r>
      <w:r>
        <w:t xml:space="preserve"> </w:t>
      </w:r>
      <w:r>
        <w:rPr>
          <w:rStyle w:val="VerbatimChar"/>
        </w:rPr>
        <w:t xml:space="preserve">gemini-3.6-flash</w:t>
      </w:r>
      <w:r>
        <w:t xml:space="preserve">, the successor named in Google’s own deprecation message, and re-ran it from scratch across all four conditions and both reference ablations.</w:t>
      </w:r>
    </w:p>
    <w:p>
      <w:pPr>
        <w:pStyle w:val="BodyText"/>
      </w:pPr>
      <w:r>
        <w:t xml:space="preserve">This changes one headline claim. The retired model showed a significant A→B text-reference benefit; the replacement does not (+0.9pp, χ²=0.6, p=0.450). We therefore now report the text-reference effect as holding for</w:t>
      </w:r>
      <w:r>
        <w:t xml:space="preserve"> </w:t>
      </w:r>
      <w:r>
        <w:rPr>
          <w:b/>
          <w:bCs/>
        </w:rPr>
        <w:t xml:space="preserve">four of five models rather than all five</w:t>
      </w:r>
      <w:r>
        <w:t xml:space="preserve">. Aggregate statistics for the retired model are preserved in the repository for comparison.</w:t>
      </w:r>
    </w:p>
    <w:p>
      <w:pPr>
        <w:pStyle w:val="BodyText"/>
      </w:pPr>
      <w:r>
        <w:rPr>
          <w:b/>
          <w:bCs/>
        </w:rPr>
        <w:t xml:space="preserve">C-3. The no-criteria ablation previously changed two variables at once.</w:t>
      </w:r>
    </w:p>
    <w:p>
      <w:pPr>
        <w:pStyle w:val="BodyText"/>
      </w:pPr>
      <w:r>
        <w:t xml:space="preserve">The original no-criteria references were generated by Claude Sonnet 4, while the primary references were generated by GPT-4.1 Nano. That ablation therefore varied the generator</w:t>
      </w:r>
      <w:r>
        <w:t xml:space="preserve"> </w:t>
      </w:r>
      <w:r>
        <w:rPr>
          <w:i/>
          <w:iCs/>
        </w:rPr>
        <w:t xml:space="preserve">and</w:t>
      </w:r>
      <w:r>
        <w:t xml:space="preserve"> </w:t>
      </w:r>
      <w:r>
        <w:t xml:space="preserve">the presence of evaluation criteria simultaneously. We regenerated the no-criteria references with GPT-4.1 Nano, holding the generator fixed, so the comparison now isolates the criteria. The conclusion is unchanged and is now properly supported: no model shows a significant benefit when evaluation criteria are removed.</w:t>
      </w:r>
    </w:p>
    <w:p>
      <w:r>
        <w:pict>
          <v:rect style="width:0;height:1.5pt" o:hralign="center" o:hrstd="t" o:hr="t"/>
        </w:pict>
      </w:r>
    </w:p>
    <w:p>
      <w:pPr>
        <w:pStyle w:val="FirstParagraph"/>
      </w:pPr>
      <w:r>
        <w:rPr>
          <w:b/>
          <w:bCs/>
        </w:rPr>
        <w:t xml:space="preserve">Reviewer #1</w:t>
      </w:r>
    </w:p>
    <w:p>
      <w:pPr>
        <w:pStyle w:val="BodyText"/>
      </w:pPr>
      <w:r>
        <w:rPr>
          <w:b/>
          <w:bCs/>
        </w:rPr>
        <w:t xml:space="preserve">R1-1: Reference-generation circularity.</w:t>
      </w:r>
      <w:r>
        <w:t xml:space="preserve"> </w:t>
      </w:r>
      <w:r>
        <w:rPr>
          <w:i/>
          <w:iCs/>
        </w:rPr>
        <w:t xml:space="preserve">“Textual references are generated using GPT-4.1 Nano, which is itself one of the evaluated verifier models.”</w:t>
      </w:r>
    </w:p>
    <w:p>
      <w:pPr>
        <w:pStyle w:val="BodyText"/>
      </w:pPr>
      <w:r>
        <w:rPr>
          <w:b/>
          <w:bCs/>
        </w:rPr>
        <w:t xml:space="preserve">Response.</w:t>
      </w:r>
      <w:r>
        <w:t xml:space="preserve"> </w:t>
      </w:r>
      <w:r>
        <w:t xml:space="preserve">We addressed this with two complementary experiments.</w:t>
      </w:r>
    </w:p>
    <w:p>
      <w:pPr>
        <w:pStyle w:val="Compact"/>
        <w:numPr>
          <w:ilvl w:val="0"/>
          <w:numId w:val="1002"/>
        </w:numPr>
      </w:pPr>
      <w:r>
        <w:rPr>
          <w:i/>
          <w:iCs/>
        </w:rPr>
        <w:t xml:space="preserve">Cross-generator evaluation.</w:t>
      </w:r>
      <w:r>
        <w:t xml:space="preserve"> </w:t>
      </w:r>
      <w:r>
        <w:t xml:space="preserve">We regenerated text references with Claude Sonnet 4 as an independent generator and re-ran all five verifiers on the 147-instance subset (Section 5.2.2, Table 6):</w:t>
      </w:r>
    </w:p>
    <w:p>
      <w:pPr>
        <w:pStyle w:val="Compact"/>
        <w:numPr>
          <w:ilvl w:val="0"/>
          <w:numId w:val="1003"/>
        </w:numPr>
      </w:pPr>
      <w:r>
        <w:t xml:space="preserve">GPT-4.1: +9.6pp (69.2% → 78.8%), McNemar p=0.018, significant</w:t>
      </w:r>
    </w:p>
    <w:p>
      <w:pPr>
        <w:pStyle w:val="Compact"/>
        <w:numPr>
          <w:ilvl w:val="0"/>
          <w:numId w:val="1003"/>
        </w:numPr>
      </w:pPr>
      <w:r>
        <w:t xml:space="preserve">GPT-4.1 Mini: +12.9pp (61.2% → 74.1%), McNemar p=0.007, significant</w:t>
      </w:r>
    </w:p>
    <w:p>
      <w:pPr>
        <w:pStyle w:val="Compact"/>
        <w:numPr>
          <w:ilvl w:val="0"/>
          <w:numId w:val="1003"/>
        </w:numPr>
      </w:pPr>
      <w:r>
        <w:t xml:space="preserve">Claude Sonnet 4: +5.0pp (77.1% → 82.1%), p=0.19, not significant</w:t>
      </w:r>
    </w:p>
    <w:p>
      <w:pPr>
        <w:pStyle w:val="Compact"/>
        <w:numPr>
          <w:ilvl w:val="0"/>
          <w:numId w:val="1003"/>
        </w:numPr>
      </w:pPr>
      <w:r>
        <w:t xml:space="preserve">Gemini 3.6 Flash: +2.0pp (77.6% → 79.6%), p=0.66, not significant</w:t>
      </w:r>
    </w:p>
    <w:p>
      <w:pPr>
        <w:pStyle w:val="Compact"/>
        <w:numPr>
          <w:ilvl w:val="0"/>
          <w:numId w:val="1003"/>
        </w:numPr>
      </w:pPr>
      <w:r>
        <w:t xml:space="preserve">GPT-4.1 Nano: +1.4pp (75.4% → 76.8%), p=0.84, not significant</w:t>
      </w:r>
    </w:p>
    <w:p>
      <w:pPr>
        <w:pStyle w:val="FirstParagraph"/>
      </w:pPr>
      <w:r>
        <w:t xml:space="preserve">The pattern supports the reviewer’s concern. GPT-4.1 Nano, which generated the original references, shows the largest gap between self-generated and independent references (+5.7pp self versus +1.4pp cross), which is the expected signature of self-agreement bias. We now present the original A→B comparison as an upper bound and the cross-generator result as the realistic estimate.</w:t>
      </w:r>
    </w:p>
    <w:p>
      <w:pPr>
        <w:pStyle w:val="Compact"/>
        <w:numPr>
          <w:ilvl w:val="0"/>
          <w:numId w:val="1004"/>
        </w:numPr>
      </w:pPr>
      <w:r>
        <w:rPr>
          <w:i/>
          <w:iCs/>
        </w:rPr>
        <w:t xml:space="preserve">No-criteria ablation.</w:t>
      </w:r>
      <w:r>
        <w:t xml:space="preserve"> </w:t>
      </w:r>
      <w:r>
        <w:t xml:space="preserve">With the generator held fixed (see C-3), removing the evaluation criteria eliminates the benefit for every model (Section 5.2.3, Table 7).</w:t>
      </w:r>
    </w:p>
    <w:p>
      <w:pPr>
        <w:pStyle w:val="FirstParagraph"/>
      </w:pPr>
      <w:r>
        <w:rPr>
          <w:b/>
          <w:bCs/>
        </w:rPr>
        <w:t xml:space="preserve">Action taken.</w:t>
      </w:r>
      <w:r>
        <w:t xml:space="preserve"> </w:t>
      </w:r>
      <w:r>
        <w:t xml:space="preserve">Added Sections 5.2.2 and 5.2.3 with Tables 6 and 7; both reference datasets are now committed to the repository so the experiment can be reproduced, which was not previously possible.</w:t>
      </w:r>
    </w:p>
    <w:p>
      <w:r>
        <w:pict>
          <v:rect style="width:0;height:1.5pt" o:hralign="center" o:hrstd="t" o:hr="t"/>
        </w:pict>
      </w:r>
    </w:p>
    <w:p>
      <w:pPr>
        <w:pStyle w:val="FirstParagraph"/>
      </w:pPr>
      <w:r>
        <w:rPr>
          <w:b/>
          <w:bCs/>
        </w:rPr>
        <w:t xml:space="preserve">Reviewer #2</w:t>
      </w:r>
    </w:p>
    <w:p>
      <w:pPr>
        <w:pStyle w:val="BodyText"/>
      </w:pPr>
      <w:r>
        <w:rPr>
          <w:b/>
          <w:bCs/>
        </w:rPr>
        <w:t xml:space="preserve">R2-1: Reconcile paired statistical results.</w:t>
      </w:r>
    </w:p>
    <w:p>
      <w:pPr>
        <w:pStyle w:val="BodyText"/>
      </w:pPr>
      <w:r>
        <w:rPr>
          <w:b/>
          <w:bCs/>
        </w:rPr>
        <w:t xml:space="preserve">Response.</w:t>
      </w:r>
      <w:r>
        <w:t xml:space="preserve"> </w:t>
      </w:r>
      <w:r>
        <w:t xml:space="preserve">All 30 paired comparisons were recomputed on jointly valid instances under a single stated policy: an exact binomial test when b+c &lt; 25 and an asymptotic χ² with continuity correction otherwise, with Conditions C and D restricted to the 147-instance visual subset.</w:t>
      </w:r>
      <w:r>
        <w:t xml:space="preserve"> </w:t>
      </w:r>
      <w:r>
        <w:rPr>
          <w:b/>
          <w:bCs/>
        </w:rPr>
        <w:t xml:space="preserve">6 of 30 are Bonferroni-significant</w:t>
      </w:r>
      <w:r>
        <w:t xml:space="preserve"> </w:t>
      </w:r>
      <w:r>
        <w:t xml:space="preserve">at α’=0.00167, and the same 6 survive Holm-Bonferroni. Four of the six are A→B comparisons, covering every model except Gemini 3.6 Flash; the other two are GPT-4.1 Mini’s A→D (χ²=10.0, p=0.0016) and GPT-4.1’s B→C (χ²=16.0, p=6e-05).</w:t>
      </w:r>
    </w:p>
    <w:p>
      <w:pPr>
        <w:pStyle w:val="BodyText"/>
      </w:pPr>
      <w:r>
        <w:t xml:space="preserve">This is fewer than the 11 reported previously. The reduction comes from the two corrections above (C-1, C-2) and from restricting each test to jointly valid instances rather than each condition’s full sample.</w:t>
      </w:r>
    </w:p>
    <w:p>
      <w:pPr>
        <w:pStyle w:val="BodyText"/>
      </w:pPr>
      <w:r>
        <w:rPr>
          <w:b/>
          <w:bCs/>
        </w:rPr>
        <w:t xml:space="preserve">Action taken.</w:t>
      </w:r>
      <w:r>
        <w:t xml:space="preserve"> </w:t>
      </w:r>
      <w:r>
        <w:t xml:space="preserve">Table 2 and Appendix I regenerated by</w:t>
      </w:r>
      <w:r>
        <w:t xml:space="preserve"> </w:t>
      </w:r>
      <w:r>
        <w:rPr>
          <w:rStyle w:val="VerbatimChar"/>
        </w:rPr>
        <w:t xml:space="preserve">scripts/recompute_final.py</w:t>
      </w:r>
      <w:r>
        <w:t xml:space="preserve">, the single source of truth for every reported statistic.</w:t>
      </w:r>
    </w:p>
    <w:p>
      <w:pPr>
        <w:pStyle w:val="BodyText"/>
      </w:pPr>
      <w:r>
        <w:rPr>
          <w:b/>
          <w:bCs/>
        </w:rPr>
        <w:t xml:space="preserve">R2-2: Text-reference information confound.</w:t>
      </w:r>
    </w:p>
    <w:p>
      <w:pPr>
        <w:pStyle w:val="BodyText"/>
      </w:pPr>
      <w:r>
        <w:rPr>
          <w:b/>
          <w:bCs/>
        </w:rPr>
        <w:t xml:space="preserve">Response.</w:t>
      </w:r>
      <w:r>
        <w:t xml:space="preserve"> </w:t>
      </w:r>
      <w:r>
        <w:t xml:space="preserve">The no-criteria ablation addresses this directly, and it is now a clean test of the criteria alone (C-3). We additionally measured reference</w:t>
      </w:r>
      <w:r>
        <w:t xml:space="preserve"> </w:t>
      </w:r>
      <w:r>
        <w:rPr>
          <w:i/>
          <w:iCs/>
        </w:rPr>
        <w:t xml:space="preserve">quality</w:t>
      </w:r>
      <w:r>
        <w:t xml:space="preserve"> </w:t>
      </w:r>
      <w:r>
        <w:t xml:space="preserve">rather than only its presence (Appendix G): truncating a reference to its first sentence costs 0.231 F1 (GPT-4.1 Mini) and 0.157 F1 (Claude Sonnet 4); a deliberately wrong reference collapses F1 to 0.000 for both models while</w:t>
      </w:r>
      <w:r>
        <w:t xml:space="preserve"> </w:t>
      </w:r>
      <w:r>
        <w:rPr>
          <w:i/>
          <w:iCs/>
        </w:rPr>
        <w:t xml:space="preserve">raising</w:t>
      </w:r>
      <w:r>
        <w:t xml:space="preserve"> </w:t>
      </w:r>
      <w:r>
        <w:t xml:space="preserve">accuracy to the majority-class rate. A verifier given a mismatched reference does not degrade gracefully; it stops recognising success entirely.</w:t>
      </w:r>
    </w:p>
    <w:p>
      <w:pPr>
        <w:pStyle w:val="BodyText"/>
      </w:pPr>
      <w:r>
        <w:rPr>
          <w:b/>
          <w:bCs/>
        </w:rPr>
        <w:t xml:space="preserve">Action taken.</w:t>
      </w:r>
      <w:r>
        <w:t xml:space="preserve"> </w:t>
      </w:r>
      <w:r>
        <w:t xml:space="preserve">Added Appendix G with measured results; the ablation was previously described but never run.</w:t>
      </w:r>
    </w:p>
    <w:p>
      <w:pPr>
        <w:pStyle w:val="BodyText"/>
      </w:pPr>
      <w:r>
        <w:rPr>
          <w:b/>
          <w:bCs/>
        </w:rPr>
        <w:t xml:space="preserve">R2-3: Matched task identifiers.</w:t>
      </w:r>
    </w:p>
    <w:p>
      <w:pPr>
        <w:pStyle w:val="BodyText"/>
      </w:pPr>
      <w:r>
        <w:rPr>
          <w:b/>
          <w:bCs/>
        </w:rPr>
        <w:t xml:space="preserve">Response.</w:t>
      </w:r>
      <w:r>
        <w:t xml:space="preserve"> </w:t>
      </w:r>
      <w:r>
        <w:t xml:space="preserve">The jointly valid instance IDs behind every paired test are released as</w:t>
      </w:r>
      <w:r>
        <w:t xml:space="preserve"> </w:t>
      </w:r>
      <w:r>
        <w:rPr>
          <w:rStyle w:val="VerbatimChar"/>
        </w:rPr>
        <w:t xml:space="preserve">results/S1_task_ids/{model}_{pair}.txt</w:t>
      </w:r>
      <w:r>
        <w:t xml:space="preserve">, 30 files, one per test.</w:t>
      </w:r>
    </w:p>
    <w:p>
      <w:pPr>
        <w:pStyle w:val="BodyText"/>
      </w:pPr>
      <w:r>
        <w:rPr>
          <w:b/>
          <w:bCs/>
        </w:rPr>
        <w:t xml:space="preserve">R2-4: Correct error-rate definitions.</w:t>
      </w:r>
    </w:p>
    <w:p>
      <w:pPr>
        <w:pStyle w:val="BodyText"/>
      </w:pPr>
      <w:r>
        <w:rPr>
          <w:b/>
          <w:bCs/>
        </w:rPr>
        <w:t xml:space="preserve">Response.</w:t>
      </w:r>
      <w:r>
        <w:t xml:space="preserve"> </w:t>
      </w:r>
      <w:r>
        <w:t xml:space="preserve">All false-positive rates use FP/(FP+TN). For GPT-4.1, Condition A FPR is 30.0% and Condition C is 42.9% on the corrected runs. We also report success-prediction precision, TP/(TP+FP), per model and condition (Section 5.7, Appendix B), and intention-to-treat bounds alongside per-protocol figures.</w:t>
      </w:r>
    </w:p>
    <w:p>
      <w:pPr>
        <w:pStyle w:val="BodyText"/>
      </w:pPr>
      <w:r>
        <w:rPr>
          <w:b/>
          <w:bCs/>
        </w:rPr>
        <w:t xml:space="preserve">R2-5: Non-LLM baselines and the threshold rule.</w:t>
      </w:r>
    </w:p>
    <w:p>
      <w:pPr>
        <w:pStyle w:val="BodyText"/>
      </w:pPr>
      <w:r>
        <w:rPr>
          <w:b/>
          <w:bCs/>
        </w:rPr>
        <w:t xml:space="preserve">Response.</w:t>
      </w:r>
      <w:r>
        <w:t xml:space="preserve"> </w:t>
      </w:r>
      <w:r>
        <w:t xml:space="preserve">We report the rule explicitly rather than an unqualified</w:t>
      </w:r>
      <w:r>
        <w:t xml:space="preserve"> </w:t>
      </w:r>
      <w:r>
        <w:t xml:space="preserve">“optimal threshold”</w:t>
      </w:r>
      <w:r>
        <w:t xml:space="preserve">. Sweeping every threshold that can change a prediction on the 147-instance subset: the accuracy-maximizing rule (SSIM &gt; 0.794) reaches 81.0% accuracy at 0.000 F1 , numerically identical to the majority-class baseline, because it predicts FAILURE everywhere. The F1-maximizing rule (SSIM &gt; 0.406) reaches 0.325 F1 at 46.3% accuracy. The previously reported 81.0% and 23.6% figures were the same method at two different thresholds; reporting either alone was misleading. A perceptual-hash baseline behaves identically.</w:t>
      </w:r>
    </w:p>
    <w:p>
      <w:pPr>
        <w:pStyle w:val="BodyText"/>
      </w:pPr>
      <w:r>
        <w:rPr>
          <w:b/>
          <w:bCs/>
        </w:rPr>
        <w:t xml:space="preserve">Action taken.</w:t>
      </w:r>
      <w:r>
        <w:t xml:space="preserve"> </w:t>
      </w:r>
      <w:r>
        <w:t xml:space="preserve">Section 5.4 rewritten;</w:t>
      </w:r>
      <w:r>
        <w:t xml:space="preserve"> </w:t>
      </w:r>
      <w:r>
        <w:rPr>
          <w:rStyle w:val="VerbatimChar"/>
        </w:rPr>
        <w:t xml:space="preserve">results/nonllm_baselines.csv</w:t>
      </w:r>
      <w:r>
        <w:t xml:space="preserve"> </w:t>
      </w:r>
      <w:r>
        <w:t xml:space="preserve">reports method, rule, threshold, accuracy, F1 and FPR for each rule.</w:t>
      </w:r>
    </w:p>
    <w:p>
      <w:pPr>
        <w:pStyle w:val="BodyText"/>
      </w:pPr>
      <w:r>
        <w:rPr>
          <w:b/>
          <w:bCs/>
        </w:rPr>
        <w:t xml:space="preserve">R2-6: Terminology and failure-type conclusions.</w:t>
      </w:r>
    </w:p>
    <w:p>
      <w:pPr>
        <w:pStyle w:val="BodyText"/>
      </w:pPr>
      <w:r>
        <w:rPr>
          <w:b/>
          <w:bCs/>
        </w:rPr>
        <w:t xml:space="preserve">Response.</w:t>
      </w:r>
      <w:r>
        <w:t xml:space="preserve"> </w:t>
      </w:r>
      <w:r>
        <w:t xml:space="preserve">“Self-verification”</w:t>
      </w:r>
      <w:r>
        <w:t xml:space="preserve"> </w:t>
      </w:r>
      <w:r>
        <w:t xml:space="preserve">is renamed</w:t>
      </w:r>
      <w:r>
        <w:t xml:space="preserve"> </w:t>
      </w:r>
      <w:r>
        <w:t xml:space="preserve">“post-hoc verification”</w:t>
      </w:r>
      <w:r>
        <w:t xml:space="preserve"> </w:t>
      </w:r>
      <w:r>
        <w:t xml:space="preserve">throughout, including the title.</w:t>
      </w:r>
    </w:p>
    <w:p>
      <w:pPr>
        <w:pStyle w:val="BodyText"/>
      </w:pPr>
      <w:r>
        <w:t xml:space="preserve">On inter-annotator agreement we must be candid, and the result is negative.</w:t>
      </w:r>
    </w:p>
    <w:p>
      <w:pPr>
        <w:pStyle w:val="BodyText"/>
      </w:pPr>
      <w:r>
        <w:t xml:space="preserve">The labelling interface used for the earlier study accepted only two categories (</w:t>
      </w:r>
      <w:r>
        <w:rPr>
          <w:rStyle w:val="VerbatimChar"/>
        </w:rPr>
        <w:t xml:space="preserve">failed</w:t>
      </w:r>
      <w:r>
        <w:t xml:space="preserve"> </w:t>
      </w:r>
      <w:r>
        <w:t xml:space="preserve">/</w:t>
      </w:r>
      <w:r>
        <w:t xml:space="preserve"> </w:t>
      </w:r>
      <w:r>
        <w:rPr>
          <w:rStyle w:val="VerbatimChar"/>
        </w:rPr>
        <w:t xml:space="preserve">partial</w:t>
      </w:r>
      <w:r>
        <w:t xml:space="preserve">), so no three-category human labels existed. The kappa = 0.236 cited in our previous response was produced by an LLM annotator standing in for a second human, which we no longer consider defensible as inter-annotator agreement; those files are retained in the repository under</w:t>
      </w:r>
      <w:r>
        <w:t xml:space="preserve"> </w:t>
      </w:r>
      <w:r>
        <w:rPr>
          <w:rStyle w:val="VerbatimChar"/>
        </w:rPr>
        <w:t xml:space="preserve">archive/iaa_llm_proxy/</w:t>
      </w:r>
      <w:r>
        <w:t xml:space="preserve"> </w:t>
      </w:r>
      <w:r>
        <w:t xml:space="preserve">and are not reported as IAA.</w:t>
      </w:r>
    </w:p>
    <w:p>
      <w:pPr>
        <w:pStyle w:val="BodyText"/>
      </w:pPr>
      <w:r>
        <w:t xml:space="preserve">We fixed the interface and ran the study properly. Two annotators independently labelled the same 100 failure instances over the obvious / deceptive / partial taxonomy, seeing the task description and the agent’s final screenshot, with no discussion before completion.</w:t>
      </w:r>
    </w:p>
    <w:p>
      <w:pPr>
        <w:pStyle w:val="BodyText"/>
      </w:pPr>
      <w:r>
        <w:rPr>
          <w:b/>
          <w:bCs/>
        </w:rPr>
        <w:t xml:space="preserve">Cohen’s kappa is 0.000.</w:t>
      </w:r>
      <w:r>
        <w:t xml:space="preserve"> </w:t>
      </w:r>
      <w:r>
        <w:t xml:space="preserve">Observed agreement is 0.330 and agreement expected by chance is also 0.330. The result does not stem from one annotator misunderstanding the task: each annotator also agrees with the original single-annotator labels only at chance (kappa +0.016 and -0.030), and the three label distributions differ substantially, most visibly for the</w:t>
      </w:r>
      <w:r>
        <w:t xml:space="preserve"> </w:t>
      </w:r>
      <w:r>
        <w:rPr>
          <w:rStyle w:val="VerbatimChar"/>
        </w:rPr>
        <w:t xml:space="preserve">partial</w:t>
      </w:r>
      <w:r>
        <w:t xml:space="preserve"> </w:t>
      </w:r>
      <w:r>
        <w:t xml:space="preserve">category (42 under the original labelling, 35 and 14 for the two annotators). Three independent labellings of the same 100 failures agree at chance.</w:t>
      </w:r>
    </w:p>
    <w:p>
      <w:pPr>
        <w:pStyle w:val="BodyText"/>
      </w:pPr>
      <w:r>
        <w:t xml:space="preserve">Inspecting the disagreements shows the cause: the categories are not mutually exclusive. A task abandoned partway typically also looks plausible, so it satisfies the definitions of both</w:t>
      </w:r>
      <w:r>
        <w:t xml:space="preserve"> </w:t>
      </w:r>
      <w:r>
        <w:rPr>
          <w:rStyle w:val="VerbatimChar"/>
        </w:rPr>
        <w:t xml:space="preserve">partial</w:t>
      </w:r>
      <w:r>
        <w:t xml:space="preserve"> </w:t>
      </w:r>
      <w:r>
        <w:t xml:space="preserve">and</w:t>
      </w:r>
      <w:r>
        <w:t xml:space="preserve"> </w:t>
      </w:r>
      <w:r>
        <w:rPr>
          <w:rStyle w:val="VerbatimChar"/>
        </w:rPr>
        <w:t xml:space="preserve">deceptive</w:t>
      </w:r>
      <w:r>
        <w:t xml:space="preserve">, and the label chosen depends on whether the annotator weights how convincing the failure looks or how far the agent progressed. Every disagreement we examined was a deceptive/partial or deceptive/obvious collision.</w:t>
      </w:r>
    </w:p>
    <w:p>
      <w:pPr>
        <w:pStyle w:val="BodyText"/>
      </w:pPr>
      <w:r>
        <w:t xml:space="preserve">We have therefore made the following changes rather than presenting the taxonomy as validated:</w:t>
      </w:r>
    </w:p>
    <w:p>
      <w:pPr>
        <w:pStyle w:val="Compact"/>
        <w:numPr>
          <w:ilvl w:val="0"/>
          <w:numId w:val="1005"/>
        </w:numPr>
      </w:pPr>
      <w:r>
        <w:t xml:space="preserve">Section 5.3 is retitled</w:t>
      </w:r>
      <w:r>
        <w:t xml:space="preserve"> </w:t>
      </w:r>
      <w:r>
        <w:t xml:space="preserve">“Failure Type Analysis (Taxonomy Not Validated)”</w:t>
      </w:r>
      <w:r>
        <w:t xml:space="preserve"> </w:t>
      </w:r>
      <w:r>
        <w:t xml:space="preserve">and opens with the agreement result before any finding conditioned on failure type.</w:t>
      </w:r>
    </w:p>
    <w:p>
      <w:pPr>
        <w:pStyle w:val="Compact"/>
        <w:numPr>
          <w:ilvl w:val="0"/>
          <w:numId w:val="1005"/>
        </w:numPr>
      </w:pPr>
      <w:r>
        <w:t xml:space="preserve">The former Finding 4 is withdrawn. The per-category breakdown is retained as a description of one annotator’s labelling, with Table 3 and Figure 4 captioned accordingly.</w:t>
      </w:r>
    </w:p>
    <w:p>
      <w:pPr>
        <w:pStyle w:val="Compact"/>
        <w:numPr>
          <w:ilvl w:val="0"/>
          <w:numId w:val="1005"/>
        </w:numPr>
      </w:pPr>
      <w:r>
        <w:t xml:space="preserve">The contribution list no longer claims that references act selectively on deceptive failures.</w:t>
      </w:r>
    </w:p>
    <w:p>
      <w:pPr>
        <w:pStyle w:val="Compact"/>
        <w:numPr>
          <w:ilvl w:val="0"/>
          <w:numId w:val="1005"/>
        </w:numPr>
      </w:pPr>
      <w:r>
        <w:t xml:space="preserve">The deployment recommendation to target deceptive failures is withdrawn; a reproducible taxonomy is a prerequisite for such a policy.</w:t>
      </w:r>
    </w:p>
    <w:p>
      <w:pPr>
        <w:pStyle w:val="Compact"/>
        <w:numPr>
          <w:ilvl w:val="0"/>
          <w:numId w:val="1005"/>
        </w:numPr>
      </w:pPr>
      <w:r>
        <w:t xml:space="preserve">The limitation is stated directly, including that we did not find a protocol separating the categories, and that a redesigned taxonomy with an explicit precedence rule or richer context than a single screenshot is future work.</w:t>
      </w:r>
    </w:p>
    <w:p>
      <w:pPr>
        <w:pStyle w:val="FirstParagraph"/>
      </w:pPr>
      <w:r>
        <w:t xml:space="preserve">The full analysis, including the confusion matrix and all three pairwise comparisons, is in</w:t>
      </w:r>
      <w:r>
        <w:t xml:space="preserve"> </w:t>
      </w:r>
      <w:r>
        <w:rPr>
          <w:rStyle w:val="VerbatimChar"/>
        </w:rPr>
        <w:t xml:space="preserve">results/iaa_kappa_3cat_human.txt</w:t>
      </w:r>
      <w:r>
        <w:t xml:space="preserve">, and the raw labels are committed so the figure can be recomputed with</w:t>
      </w:r>
      <w:r>
        <w:t xml:space="preserve"> </w:t>
      </w:r>
      <w:r>
        <w:rPr>
          <w:rStyle w:val="VerbatimChar"/>
        </w:rPr>
        <w:t xml:space="preserve">scripts/recompute_iaa.py</w:t>
      </w:r>
      <w:r>
        <w:t xml:space="preserve">.</w:t>
      </w:r>
    </w:p>
    <w:p>
      <w:pPr>
        <w:pStyle w:val="BodyText"/>
      </w:pPr>
      <w:r>
        <w:t xml:space="preserve">We recognise this weakens Section 5.3. We think reporting the null is the correct response to the reviewer’s request, and that</w:t>
      </w:r>
      <w:r>
        <w:t xml:space="preserve"> </w:t>
      </w:r>
      <w:r>
        <w:t xml:space="preserve">“this distinction is not reliably labellable from a final screenshot”</w:t>
      </w:r>
      <w:r>
        <w:t xml:space="preserve"> </w:t>
      </w:r>
      <w:r>
        <w:t xml:space="preserve">is itself a useful result for work that relies on similar taxonomies. None of Findings 1 to 4 depends on it; they rest on accuracy, F1 and paired tests against SUCCESS/FAILURE ground truth.</w:t>
      </w:r>
    </w:p>
    <w:p>
      <w:r>
        <w:pict>
          <v:rect style="width:0;height:1.5pt" o:hralign="center" o:hrstd="t" o:hr="t"/>
        </w:pict>
      </w:r>
    </w:p>
    <w:p>
      <w:pPr>
        <w:pStyle w:val="FirstParagraph"/>
      </w:pPr>
      <w:r>
        <w:rPr>
          <w:b/>
          <w:bCs/>
        </w:rPr>
        <w:t xml:space="preserve">Additional analyses in this revision</w:t>
      </w:r>
    </w:p>
    <w:p>
      <w:pPr>
        <w:pStyle w:val="BodyText"/>
      </w:pPr>
      <w:r>
        <w:rPr>
          <w:i/>
          <w:iCs/>
        </w:rPr>
        <w:t xml:space="preserve">Overconfidence (Section 5.8).</w:t>
      </w:r>
      <w:r>
        <w:t xml:space="preserve"> </w:t>
      </w:r>
      <w:r>
        <w:t xml:space="preserve">Four of five models show median confidence of 9–10 regardless of correctness. The GPT-4.1 family is the most overconfident, with mean confidence when wrong exceeding confidence when correct. Claude Sonnet 4 is the exception and the best calibrated, with a +0.7 to +0.9 gap.</w:t>
      </w:r>
    </w:p>
    <w:p>
      <w:pPr>
        <w:pStyle w:val="BodyText"/>
      </w:pPr>
      <w:r>
        <w:rPr>
          <w:i/>
          <w:iCs/>
        </w:rPr>
        <w:t xml:space="preserve">Qualitative analysis (Section 5.9).</w:t>
      </w:r>
      <w:r>
        <w:t xml:space="preserve"> </w:t>
      </w:r>
      <w:r>
        <w:t xml:space="preserve">On instances where both conditions returned a valid verdict, text references improved verification in 649 cases and degraded it in 209.</w:t>
      </w:r>
    </w:p>
    <w:p>
      <w:pPr>
        <w:pStyle w:val="BodyText"/>
      </w:pPr>
      <w:r>
        <w:rPr>
          <w:i/>
          <w:iCs/>
        </w:rPr>
        <w:t xml:space="preserve">Cost and latency (Section 5.10).</w:t>
      </w:r>
      <w:r>
        <w:t xml:space="preserve"> </w:t>
      </w:r>
      <w:r>
        <w:t xml:space="preserve">The full study is 10,560 API calls at $35.04. GPT-4.1 Nano offers the best cost-accuracy tradeoff; Claude Sonnet 4 is the most accurate and best calibrated at the highest cost. Gemini figures reflect</w:t>
      </w:r>
      <w:r>
        <w:t xml:space="preserve"> </w:t>
      </w:r>
      <w:r>
        <w:rPr>
          <w:rStyle w:val="VerbatimChar"/>
        </w:rPr>
        <w:t xml:space="preserve">gemini-3.6-flash</w:t>
      </w:r>
      <w:r>
        <w:t xml:space="preserve"> </w:t>
      </w:r>
      <w:r>
        <w:t xml:space="preserve">pricing, roughly five times the input and six times the output rate of the retired model.</w:t>
      </w:r>
    </w:p>
    <w:p>
      <w:pPr>
        <w:pStyle w:val="BodyText"/>
      </w:pPr>
      <w:r>
        <w:rPr>
          <w:i/>
          <w:iCs/>
        </w:rPr>
        <w:t xml:space="preserve">Reproducibility.</w:t>
      </w:r>
      <w:r>
        <w:t xml:space="preserve"> </w:t>
      </w:r>
      <w:r>
        <w:t xml:space="preserve">Two data-preparation scripts named in our reproducibility guide were never committed; both are now included, so the screenshots and human reference images can be rebuilt from the public VisualWebArena archives. The three text-reference datasets are committed for the first time.</w:t>
      </w:r>
    </w:p>
    <w:p>
      <w:pPr>
        <w:pStyle w:val="BodyText"/>
      </w:pPr>
      <w:r>
        <w:t xml:space="preserve">We believe the manuscript is substantially stronger for these corrections, and we thank the reviewers for prompting the scrutiny that surfaced them.</w:t>
      </w:r>
    </w:p>
    <w:p>
      <w:pPr>
        <w:pStyle w:val="BodyText"/>
      </w:pPr>
      <w:r>
        <w:t xml:space="preserve">Sincerely,</w:t>
      </w:r>
    </w:p>
    <w:p>
      <w:pPr>
        <w:pStyle w:val="BodyText"/>
      </w:pPr>
      <w:r>
        <w:t xml:space="preserve">Vishwak Thatikonda and Shravani Parsi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2026-09-11T00:26:54Z</dcterms:created>
  <dcterms:modified xsi:type="dcterms:W3CDTF">2026-09-11T00:26:54Z</dcterms:modified>
</cp:coreProperties>
</file>

<file path=docProps/custom.xml><?xml version="1.0" encoding="utf-8"?>
<Properties xmlns="http://schemas.openxmlformats.org/officeDocument/2006/custom-properties" xmlns:vt="http://schemas.openxmlformats.org/officeDocument/2006/docPropsVTypes"/>
</file>