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4.4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 together with an inter-annotator agreement study of the taxonomy it relies on. The agreement study returned Cohen's kappa of 0.000, so we report the breakdown descriptively and withdraw the claim that references act selectively on deceptive failures.</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r>
        <w:rPr>
          <w:rFonts w:ascii="Times New Roman" w:cs="Times New Roman" w:eastAsia="Times New Roman" w:hAnsi="Times New Roman"/>
          <w:sz w:val="20"/>
          <w:szCs w:val="20"/>
          <w:rtl w:val="0"/>
        </w:rPr>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[.255,.389]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 [.812,.861]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 [.417,.557]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 [.599,.748]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 [.222,.500]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[.662,.810]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 [.200,.525]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[.344,.446]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 [.820,.867]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 [.546,.663]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 [.660,.803]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 [.179,.486]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[.694,.830]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 [.308,.613]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[.671,.731]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[.380,.490]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 [.796,.846]</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 [.477,.603]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 [.503,.667]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 [.244,.494]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 [.565,.721]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 [.270,.527]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 [.845,.889]</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 [.562,.688]</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 [.735,.871]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 [.441,.719]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[.677,.827]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 [.338,.630]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.779 [.754,.807]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.501 [.440,.559]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.788 [.760,.814]</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.514 [.453,.571]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.744</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 [.714,.850]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 [.373,.676]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 [.748,.871]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 [.421,.714]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 Condition B improves on Condition A by +6.2pp (Nano), +20.6pp (Mini), +12.1pp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r>
        <w:rPr>
          <w:rFonts w:ascii="Times New Roman" w:cs="Times New Roman" w:eastAsia="Times New Roman" w:hAnsi="Times New Roman"/>
          <w:sz w:val="20"/>
          <w:szCs w:val="20"/>
          <w:rtl w:val="0"/>
        </w:rPr>
        <w:t xml:space="preserve"/>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 Comparisons here use the aligned 147-instance subset (Table 5) so that A and C are measured on identical instances. Two models degrade: GPT-4.1 falls from 69.2% to 58.5% (−10.7pp) and GPT-4.1 Nano from 75.3% to 67.3% (−8.0pp). Two improve: GPT-4.1 Mini rises from 61.2% to 73.5% (+12.3pp)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r>
        <w:rPr>
          <w:rFonts w:ascii="Cardo" w:cs="Cardo" w:eastAsia="Cardo" w:hAnsi="Cardo"/>
          <w:sz w:val="20"/>
          <w:szCs w:val="20"/>
          <w:rtl w:val="0"/>
        </w:rPr>
        <w:t xml:space="preserve"/>
      </w:r>
      <w:r>
        <w:rPr>
          <w:rFonts w:ascii="Times New Roman" w:cs="Times New Roman" w:eastAsia="Times New Roman" w:hAnsi="Times New Roman"/>
          <w:i w:val="1"/>
          <w:iCs w:val="1"/>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6: Cross-generator results (Claude Sonnet 4 references, 147-subset). Acc=accuracy, lift=A−B difference, McNemar p-value vs. A.</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No-criteria ablation results. Same format as Table 6. All values on the 147-subset.</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 Failure types are the original single-annotator labels, which a two-annotator study found not to be reproducible (Cohen's kappa 0.000, Section 5.3); the rows are descriptive and are not used to support any claim.</w:t>
      </w:r>
      <w:r>
        <w:rPr>
          <w:rFonts w:ascii="Times New Roman" w:cs="Times New Roman" w:eastAsia="Times New Roman" w:hAnsi="Times New Roman"/>
          <w:sz w:val="20"/>
          <w:szCs w:val="20"/>
          <w:rtl w:val="0"/>
        </w:rPr>
        <w:t xml:space="preserve"/>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r>
        <w:rPr>
          <w:rFonts w:ascii="Times New Roman" w:cs="Times New Roman" w:eastAsia="Times New Roman" w:hAnsi="Times New Roman"/>
          <w:sz w:val="20"/>
          <w:szCs w:val="20"/>
          <w:rtl w:val="0"/>
        </w:rPr>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Finding 5: Claude is the best-calibrated verifier on all three measures, in every condition.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br/>
        <w:br/>
        <w:br/>
        <w:t>Figure 5: Calibration reliability diagrams for Conditions A and B across all five models.</w:t>
      </w:r>
      <w:r>
        <w:rPr>
          <w:rFonts w:ascii="Times New Roman" w:cs="Times New Roman" w:eastAsia="Times New Roman" w:hAnsi="Times New Roman"/>
          <w:sz w:val="20"/>
          <w:szCs w:val="20"/>
          <w:rtl w:val="0"/>
        </w:rPr>
      </w:r>
      <w:r>
        <w:rPr/>
      </w:r>
      <w:r>
        <w:rPr>
          <w:rtl w:val="0"/>
        </w:rPr>
      </w:r>
      <w:r>
        <w:rPr>
          <w:rFonts w:ascii="Times New Roman" w:cs="Times New Roman" w:eastAsia="Times New Roman" w:hAnsi="Times New Roman"/>
          <w:sz w:val="20"/>
          <w:szCs w:val="20"/>
          <w:rtl w:val="0"/>
        </w:rPr>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9: Estimated cost and latency for verifying 909 instances. Text-only verification assumes ~538 input tokens and ~200 output tokens per instance.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($0.14–$7.27 per model) but do not improve verification accuracy, confirming that text references with evaluation criteria are sufficient for most use cases.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[26].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Invest in text reference generation with evaluation criteria.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r>
        <w:rPr>
          <w:rFonts w:ascii="Times New Roman" w:cs="Times New Roman" w:eastAsia="Times New Roman" w:hAnsi="Times New Roman"/>
          <w:sz w:val="20"/>
          <w:szCs w:val="20"/>
          <w:rtl w:val="0"/>
        </w:rPr>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 Visual references should be tested per-model before deployment: they harm GPT-4.1 and GPT-4.1 Nano, help GPT-4.1 Mini and Claude Sonnet 4, and leave Gemini essentially unchanged.</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r>
        <w:rPr>
          <w:rFonts w:ascii="Times New Roman" w:cs="Times New Roman" w:eastAsia="Times New Roman" w:hAnsi="Times New Roman"/>
          <w:sz w:val="20"/>
          <w:szCs w:val="20"/>
          <w:rtl w:val="0"/>
        </w:rPr>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have presented a controlled study of reference-augmented LMM post-hoc verification for web agents. Across 909 VisualWebArena trajectories, four reference conditions, and five frontier closed-API models from three families, three findings hold consistently in this setting: text references significantly and uniformly improve verification, visual references degrade most models on the visual-reference subset, and adding a reference screenshot on top of a text reference does not help.</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Screenshots.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 Gemini 3.x charges internal reasoning tokens against max_output_tokens, so a 512-token cap truncated most responses mid-JSON; we raise the cap to 4096 and request response_mime_type=application/json. The visible answer remains ~80 tokens, comparable to the other providers.</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&amp;amp;quot;low cost.&amp;amp;quot;</w:t>
      </w:r>
      <w:r>
        <w:rPr>
          <w:rFonts w:ascii="Times New Roman" w:cs="Times New Roman" w:eastAsia="Times New Roman" w:hAnsi="Times New Roman"/>
          <w:sz w:val="20"/>
          <w:szCs w:val="20"/>
          <w:rtl w:val="0"/>
        </w:rPr>
        <w:t xml:space="preserve"/>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