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Can LLM Web Agents Verify Their Own Work? The Role of Visual and Textual References in Post-Hoc 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 xml:space="preserve">Abstract: </w:t>
      </w:r>
      <w:r>
        <w:rPr>
          <w:rFonts w:ascii="Times New Roman" w:cs="Times New Roman" w:eastAsia="Times New Roman" w:hAnsi="Times New Roman"/>
          <w:sz w:val="20"/>
          <w:szCs w:val="20"/>
          <w:rtl w:val="0"/>
        </w:rPr>
        <w:t xml:space="preserve">Autonomous web agents powered by large multimodal models (LMMs) can now complete complex browser tasks, but determining </w:t>
      </w:r>
      <w:r>
        <w:rPr>
          <w:rFonts w:ascii="Times New Roman" w:cs="Times New Roman" w:eastAsia="Times New Roman" w:hAnsi="Times New Roman"/>
          <w:i w:val="1"/>
          <w:iCs w:val="1"/>
          <w:sz w:val="20"/>
          <w:szCs w:val="20"/>
          <w:rtl w:val="0"/>
        </w:rPr>
        <w:t xml:space="preserve">whether</w:t>
      </w:r>
      <w:r>
        <w:rPr>
          <w:rFonts w:ascii="Times New Roman" w:cs="Times New Roman" w:eastAsia="Times New Roman" w:hAnsi="Times New Roman"/>
          <w:sz w:val="20"/>
          <w:szCs w:val="20"/>
          <w:rtl w:val="0"/>
        </w:rPr>
        <w:t xml:space="preserve"> a task succeeded remains an open problem. Current evaluation relies on brittle scripted oracles that cannot generalize across websites. We investigate whether LMMs can </w:t>
      </w:r>
      <w:r>
        <w:rPr>
          <w:rFonts w:ascii="Times New Roman" w:cs="Times New Roman" w:eastAsia="Times New Roman" w:hAnsi="Times New Roman"/>
          <w:b w:val="1"/>
          <w:bCs w:val="1"/>
          <w:sz w:val="20"/>
          <w:szCs w:val="20"/>
          <w:rtl w:val="0"/>
        </w:rPr>
        <w:t>post-hoc verify</w:t>
      </w:r>
      <w:r>
        <w:rPr>
          <w:rFonts w:ascii="Times New Roman" w:cs="Times New Roman" w:eastAsia="Times New Roman" w:hAnsi="Times New Roman"/>
          <w:sz w:val="20"/>
          <w:szCs w:val="20"/>
          <w:rtl w:val="0"/>
        </w:rPr>
        <w:t xml:space="preserve"> task completion by examining a final screenshot, optionally augmented with a reference, either a textual description of the expected outcome or a screenshot from a successful human trajectory.</w:t>
      </w:r>
    </w:p>
    <w:p w:rsidR="00000000" w:rsidDel="00000000" w:rsidP="00000000" w:rsidRDefault="00000000" w:rsidRPr="00000000" w14:paraId="000000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w:t>
      </w:r>
      <w:r>
        <w:rPr>
          <w:rFonts w:ascii="Times New Roman" w:cs="Times New Roman" w:eastAsia="Times New Roman" w:hAnsi="Times New Roman"/>
          <w:b w:val="1"/>
          <w:bCs w:val="1"/>
          <w:sz w:val="20"/>
          <w:szCs w:val="20"/>
          <w:rtl w:val="0"/>
        </w:rPr>
        <w:t xml:space="preserve">textual references consistently and significantly improve verification accuracy</w:t>
      </w:r>
      <w:r>
        <w:rPr>
          <w:rFonts w:ascii="Times New Roman" w:cs="Times New Roman" w:eastAsia="Times New Roman" w:hAnsi="Times New Roman"/>
          <w:sz w:val="20"/>
          <w:szCs w:val="20"/>
          <w:rtl w:val="0"/>
        </w:rPr>
        <w:t xml:space="preserve"> for all five models (A→B McNemar p&lt;0.001, surviving Bonferroni correction at alpha'=0.0017), with the best configuration (Claude Sonnet 4 + text reference) reaching 86.7% accuracy and 0.627 F1, closely followed by Gemini 2.5 Flash (86.1%, 0.563 F1); (2) on the 147-instance visual-reference subset, </w:t>
      </w:r>
      <w:r>
        <w:rPr>
          <w:rFonts w:ascii="Times New Roman" w:cs="Times New Roman" w:eastAsia="Times New Roman" w:hAnsi="Times New Roman"/>
          <w:b w:val="1"/>
          <w:bCs w:val="1"/>
          <w:sz w:val="20"/>
          <w:szCs w:val="20"/>
          <w:rtl w:val="0"/>
        </w:rPr>
        <w:t xml:space="preserve">visual references degrade three of five models' accuracy</w:t>
      </w:r>
      <w:r>
        <w:rPr>
          <w:rFonts w:ascii="Times New Roman" w:cs="Times New Roman" w:eastAsia="Times New Roman" w:hAnsi="Times New Roman"/>
          <w:sz w:val="20"/>
          <w:szCs w:val="20"/>
          <w:rtl w:val="0"/>
        </w:rPr>
        <w:t xml:space="preserve">, GPT-4.1 drops from 70.0% to 54.1% and Gemini from 80.9% to 65.3%, while Claude is robust (77.4% → 75.2%, n.s.); (3) text references produce the largest absolute gains on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(the page looks plausible but is wrong), with 5-28 percentage-point improvements; (4) </w:t>
      </w:r>
      <w:r>
        <w:rPr>
          <w:rFonts w:ascii="Times New Roman" w:cs="Times New Roman" w:eastAsia="Times New Roman" w:hAnsi="Times New Roman"/>
          <w:b w:val="1"/>
          <w:bCs w:val="1"/>
          <w:sz w:val="20"/>
          <w:szCs w:val="20"/>
          <w:rtl w:val="0"/>
        </w:rPr>
        <w:t xml:space="preserve">adding a reference screenshot on top of a text reference does not improve over text alone</w:t>
      </w:r>
      <w:r>
        <w:rPr>
          <w:rFonts w:ascii="Times New Roman" w:cs="Times New Roman" w:eastAsia="Times New Roman" w:hAnsi="Times New Roman"/>
          <w:sz w:val="20"/>
          <w:szCs w:val="20"/>
          <w:rtl w:val="0"/>
        </w:rPr>
        <w:t xml:space="preserve">; and (5) Claude is well-calibrated by both ECE and Brier score across all conditions while GPT and Gemini models are overconfident.</w:t>
      </w:r>
    </w:p>
    <w:p w:rsidR="00000000" w:rsidDel="00000000" w:rsidP="00000000" w:rsidRDefault="00000000" w:rsidRPr="00000000" w14:paraId="000000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These results indicate that LMM-based post-hoc verification is viable in this regime but is reference-dependent, and that the modality of the reference matters more than its mere presence. The findings are conditional on the VWA + GPT-4V/SoM setting; we release the full evaluation harness, prompts, results, and analysis tooling to support cross-benchmark, cross-agent, and cross-verifier replication.</w:t>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Helvetica Neue" w:cs="Helvetica Neue" w:eastAsia="Helvetica Neue" w:hAnsi="Helvetica Neue"/>
          <w:b w:val="1"/>
          <w:bCs w:val="1"/>
          <w:sz w:val="20"/>
          <w:szCs w:val="20"/>
          <w:rtl w:val="0"/>
        </w:rPr>
        <w:t xml:space="preserve">Index Terms: </w:t>
      </w:r>
      <w:r>
        <w:rPr>
          <w:rFonts w:ascii="Times New Roman" w:cs="Times New Roman" w:eastAsia="Times New Roman" w:hAnsi="Times New Roman"/>
          <w:sz w:val="20"/>
          <w:szCs w:val="20"/>
          <w:rtl w:val="0"/>
        </w:rPr>
        <w:t>large multimodal models, LLM-as-judge, autonomous web agents, post-hoc verification, task verification, confidence calibration, VisualWebArena, multimodal evaluation</w:t>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study this question through a controlled experiment comparing four verification conditions:</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2.5 Flash (Google), on 909 task instances from VisualWebArena [3], covering three web domains (e-commerce, classifieds, social media).</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A controlled comparison of reference modalities for LMM post-hoc verification</w:t>
      </w:r>
      <w:r>
        <w:rPr>
          <w:rFonts w:ascii="Times New Roman" w:cs="Times New Roman" w:eastAsia="Times New Roman" w:hAnsi="Times New Roman"/>
          <w:sz w:val="20"/>
          <w:szCs w:val="20"/>
          <w:rtl w:val="0"/>
        </w:rPr>
        <w:t xml:space="preserve">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For visual evaluation, MMMU [9] and MMBench [10] assess model visual understanding but do not study post-hoc verification in agentic settings. The closest work to ours is WebJudge [5],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2.3 Post-Hoc 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Post-hoc verification, an agent assessing its own output, is related to self-reflection [14], self-debugging [8], and ReAct-style reasoning-action loops [15]. Reflexion [14] demonstrated that iterative self-evaluation improves downstream task performance, but assumes the self-evaluation signal is reliable. Our work directly measures </w:t>
      </w:r>
      <w:r>
        <w:rPr>
          <w:rFonts w:ascii="Times New Roman" w:cs="Times New Roman" w:eastAsia="Times New Roman" w:hAnsi="Times New Roman"/>
          <w:i w:val="1"/>
          <w:iCs w:val="1"/>
          <w:sz w:val="20"/>
          <w:szCs w:val="20"/>
          <w:rtl w:val="0"/>
        </w:rPr>
        <w:t xml:space="preserve">how</w:t>
      </w:r>
      <w:r>
        <w:rPr>
          <w:rFonts w:ascii="Times New Roman" w:cs="Times New Roman" w:eastAsia="Times New Roman" w:hAnsi="Times New Roman"/>
          <w:sz w:val="20"/>
          <w:szCs w:val="20"/>
          <w:rtl w:val="0"/>
        </w:rPr>
        <w:t xml:space="preserve"> reliable that signal is and what information is required to make it useful.</w:t>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3. The Visual Post-Hoc 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references are lightweight to produce, they require only the task specification, not a successful execution, making them practical for real deployment. They capture </w:t>
      </w:r>
      <w:r>
        <w:rPr>
          <w:rFonts w:ascii="Times New Roman" w:cs="Times New Roman" w:eastAsia="Times New Roman" w:hAnsi="Times New Roman"/>
          <w:i w:val="1"/>
          <w:iCs w:val="1"/>
          <w:sz w:val="20"/>
          <w:szCs w:val="20"/>
          <w:rtl w:val="0"/>
        </w:rPr>
        <w:t xml:space="preserve">what</w:t>
      </w:r>
      <w:r>
        <w:rPr>
          <w:rFonts w:ascii="Times New Roman" w:cs="Times New Roman" w:eastAsia="Times New Roman" w:hAnsi="Times New Roman"/>
          <w:sz w:val="20"/>
          <w:szCs w:val="20"/>
          <w:rtl w:val="0"/>
        </w:rPr>
        <w:t xml:space="preserve"> should be true without prescribing </w:t>
      </w:r>
      <w:r>
        <w:rPr>
          <w:rFonts w:ascii="Times New Roman" w:cs="Times New Roman" w:eastAsia="Times New Roman" w:hAnsi="Times New Roman"/>
          <w:i w:val="1"/>
          <w:iCs w:val="1"/>
          <w:sz w:val="20"/>
          <w:szCs w:val="20"/>
          <w:rtl w:val="0"/>
        </w:rPr>
        <w:t xml:space="preserve">how</w:t>
      </w:r>
      <w:r>
        <w:rPr>
          <w:rFonts w:ascii="Times New Roman" w:cs="Times New Roman" w:eastAsia="Times New Roman" w:hAnsi="Times New Roman"/>
          <w:sz w:val="20"/>
          <w:szCs w:val="20"/>
          <w:rtl w:val="0"/>
        </w:rPr>
        <w:t xml:space="preserve"> it should look.</w:t>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1143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43200" cy="1143000"/>
                    </a:xfrm>
                    <a:prstGeom prst="rect"/>
                    <a:ln/>
                  </pic:spPr>
                </pic:pic>
              </a:graphicData>
            </a:graphic>
          </wp:inline>
        </w:drawing>
      </w:r>
      <w:r>
        <w:rPr>
          <w:rFonts w:ascii="Times New Roman" w:cs="Times New Roman" w:eastAsia="Times New Roman" w:hAnsi="Times New Roman"/>
          <w:sz w:val="20"/>
          <w:szCs w:val="20"/>
          <w:rtl w:val="0"/>
        </w:rPr>
        <w:br/>
        <w:t>Figure 1: Visual Post-Hoc Verification Framework, inputs, prompt construction, and outputs for each of the four conditions (A–D).</w:t>
        <w:br/>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11,322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w:t>
      </w:r>
      <w:r>
        <w:rPr>
          <w:rFonts w:ascii="Times New Roman" w:cs="Times New Roman" w:eastAsia="Times New Roman" w:hAnsi="Times New Roman"/>
          <w:sz w:val="20"/>
          <w:szCs w:val="20"/>
          <w:rtl w:val="0"/>
        </w:rPr>
        <w:t xml:space="preserve">: For the SUCCESS class specifically.</w:t>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[21]: For the 147 visual-reference instances, we compute the Structural Similarity Index between each actual screenshot and its reference screenshot, resized to a common resolution of 512x512 grayscale. We select the optimal SSIM threshold via exhaustive search to maximize accuracy. This represents the best a non-LLM visual comparison can achieve. We also note that pretrained vision-language similarity (e.g., BLIP-2 [25]) could be substituted; SSIM is a strong, well-understood baseline that requires no learned encoder.</w:t>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[.745,.802]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[.254,.394]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w:t>
            </w:r>
            <w:r>
              <w:rPr>
                <w:rFonts w:ascii="Times New Roman" w:cs="Times New Roman" w:eastAsia="Times New Roman" w:hAnsi="Times New Roman"/>
                <w:sz w:val="20"/>
                <w:szCs w:val="20"/>
                <w:rtl w:val="0"/>
              </w:rPr>
              <w:t xml:space="preserve"> [.812,.861]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w:t>
            </w:r>
            <w:r>
              <w:rPr>
                <w:rFonts w:ascii="Times New Roman" w:cs="Times New Roman" w:eastAsia="Times New Roman" w:hAnsi="Times New Roman"/>
                <w:sz w:val="20"/>
                <w:szCs w:val="20"/>
                <w:rtl w:val="0"/>
              </w:rPr>
              <w:t xml:space="preserve"> [.412,.558]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 [.538,.699]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 [.225,.479]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 [.697,.834]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 [.323,.627]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[.345,.451]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w:t>
            </w:r>
            <w:r>
              <w:rPr>
                <w:rFonts w:ascii="Times New Roman" w:cs="Times New Roman" w:eastAsia="Times New Roman" w:hAnsi="Times New Roman"/>
                <w:sz w:val="20"/>
                <w:szCs w:val="20"/>
                <w:rtl w:val="0"/>
              </w:rPr>
              <w:t xml:space="preserve"> [.819,.867]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w:t>
            </w:r>
            <w:r>
              <w:rPr>
                <w:rFonts w:ascii="Times New Roman" w:cs="Times New Roman" w:eastAsia="Times New Roman" w:hAnsi="Times New Roman"/>
                <w:sz w:val="20"/>
                <w:szCs w:val="20"/>
                <w:rtl w:val="0"/>
              </w:rPr>
              <w:t xml:space="preserve"> [.543,.660]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 [.612,.762]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 [.274,.537]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.571</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[.687,.830]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 [.357,.638]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[.672,.731]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[.381,.490]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w:t>
            </w:r>
            <w:r>
              <w:rPr>
                <w:rFonts w:ascii="Times New Roman" w:cs="Times New Roman" w:eastAsia="Times New Roman" w:hAnsi="Times New Roman"/>
                <w:sz w:val="20"/>
                <w:szCs w:val="20"/>
                <w:rtl w:val="0"/>
              </w:rPr>
              <w:t xml:space="preserve"> [.796,.846]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w:t>
            </w:r>
            <w:r>
              <w:rPr>
                <w:rFonts w:ascii="Times New Roman" w:cs="Times New Roman" w:eastAsia="Times New Roman" w:hAnsi="Times New Roman"/>
                <w:sz w:val="20"/>
                <w:szCs w:val="20"/>
                <w:rtl w:val="0"/>
              </w:rPr>
              <w:t xml:space="preserve"> [.476,.604]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 [.459,.623]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 [.264,.496]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 [.544,.707]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 [.243,.506]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w:t>
            </w:r>
            <w:r>
              <w:rPr>
                <w:rFonts w:ascii="Times New Roman" w:cs="Times New Roman" w:eastAsia="Times New Roman" w:hAnsi="Times New Roman"/>
                <w:sz w:val="20"/>
                <w:szCs w:val="20"/>
                <w:rtl w:val="0"/>
              </w:rPr>
              <w:t xml:space="preserve"> [.846,.888]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w:t>
            </w:r>
            <w:r>
              <w:rPr>
                <w:rFonts w:ascii="Times New Roman" w:cs="Times New Roman" w:eastAsia="Times New Roman" w:hAnsi="Times New Roman"/>
                <w:sz w:val="20"/>
                <w:szCs w:val="20"/>
                <w:rtl w:val="0"/>
              </w:rPr>
              <w:t xml:space="preserve"> [.565,.690]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[.682,.822]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 [.351,.646]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[.659,.812]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 [.364,.636]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.731</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.809 [.782,.834]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.435 [.367,.500]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.861</w:t>
            </w:r>
            <w:r>
              <w:rPr>
                <w:rFonts w:ascii="Times New Roman" w:cs="Times New Roman" w:eastAsia="Times New Roman" w:hAnsi="Times New Roman"/>
                <w:sz w:val="20"/>
                <w:szCs w:val="20"/>
                <w:rtl w:val="0"/>
              </w:rPr>
              <w:t xml:space="preserve"> [.838,.882]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.563</w:t>
            </w:r>
            <w:r>
              <w:rPr>
                <w:rFonts w:ascii="Times New Roman" w:cs="Times New Roman" w:eastAsia="Times New Roman" w:hAnsi="Times New Roman"/>
                <w:sz w:val="20"/>
                <w:szCs w:val="20"/>
                <w:rtl w:val="0"/>
              </w:rPr>
              <w:t xml:space="preserve"> [.490,.627]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.732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 [.578,.728]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 [.179,.453]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 [.603,.753]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 [.239,.519]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consistently and significantly improve verification.</w:t>
      </w:r>
      <w:r>
        <w:rPr>
          <w:rFonts w:ascii="Times New Roman" w:cs="Times New Roman" w:eastAsia="Times New Roman" w:hAnsi="Times New Roman"/>
          <w:sz w:val="20"/>
          <w:szCs w:val="20"/>
          <w:rtl w:val="0"/>
        </w:rPr>
        <w:t xml:space="preserve"> Condition B outperforms Condition A for every model, with accuracy gains of +6.2pp (Nano), +20.6pp (Mini), +12.1pp (GPT-4.1), +9.3pp (Claude), and +5.2pp (Gemini). McNemar's test confirms significance at p&lt;0.001 for all five models (Table 2). The F1 improvement is even more dramatic: Mini improves from 0.396 to 0.606, meaning text references help the model correctly identify both successes and failures, not merely shifting the decision boundary. Notably, Gemini 2.5 Flash achieves the highest </w:t>
      </w:r>
      <w:r>
        <w:rPr>
          <w:rFonts w:ascii="Times New Roman" w:cs="Times New Roman" w:eastAsia="Times New Roman" w:hAnsi="Times New Roman"/>
          <w:i w:val="1"/>
          <w:iCs w:val="1"/>
          <w:sz w:val="20"/>
          <w:szCs w:val="20"/>
          <w:rtl w:val="0"/>
        </w:rPr>
        <w:t xml:space="preserve">baseline</w:t>
      </w:r>
      <w:r>
        <w:rPr>
          <w:rFonts w:ascii="Times New Roman" w:cs="Times New Roman" w:eastAsia="Times New Roman" w:hAnsi="Times New Roman"/>
          <w:sz w:val="20"/>
          <w:szCs w:val="20"/>
          <w:rtl w:val="0"/>
        </w:rPr>
        <w:t xml:space="preserve"> accuracy without references (80.9%), suggesting strong intrinsic visual understanding, yet still benefits significantly from text references.</w:t>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w:t>
      </w:r>
      <w:r>
        <w:rPr>
          <w:rFonts w:ascii="Cardo" w:cs="Cardo" w:eastAsia="Cardo" w:hAnsi="Cardo"/>
          <w:sz w:val="20"/>
          <w:szCs w:val="20"/>
          <w:rtl w:val="0"/>
        </w:rPr>
        <w:t xml:space="preserve"> For GPT and Gemini models, Condition C generally degrades performance relative to A. GPT-4.1 suffers the most dramatic drop: 70.0% → 54.1% (p&lt;0.001), falling </w:t>
      </w:r>
      <w:r>
        <w:rPr>
          <w:rFonts w:ascii="Times New Roman" w:cs="Times New Roman" w:eastAsia="Times New Roman" w:hAnsi="Times New Roman"/>
          <w:i w:val="1"/>
          <w:iCs w:val="1"/>
          <w:sz w:val="20"/>
          <w:szCs w:val="20"/>
          <w:rtl w:val="0"/>
        </w:rPr>
        <w:t xml:space="preserve">below</w:t>
      </w:r>
      <w:r>
        <w:rPr>
          <w:rFonts w:ascii="Cardo" w:cs="Cardo" w:eastAsia="Cardo" w:hAnsi="Cardo"/>
          <w:sz w:val="20"/>
          <w:szCs w:val="20"/>
          <w:rtl w:val="0"/>
        </w:rPr>
        <w:t xml:space="preserve"> the majority-class baseline. Gemini also drops significantly: 80.9% → 65.3% (p=0.005). In contrast, Claude Sonnet 4 handles visual references competently: 77.4% → 75.2%, a non-significant difference (p=0.556). This suggests GPT and Gemini models are distracted by visual references, treating surface similarity as more informative than it is, while Claude can integrate visual information without being misled.</w:t>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never outperform text-only (B).</w:t>
      </w:r>
      <w:r>
        <w:rPr>
          <w:rFonts w:ascii="Cardo" w:cs="Cardo" w:eastAsia="Cardo" w:hAnsi="Cardo"/>
          <w:sz w:val="20"/>
          <w:szCs w:val="20"/>
          <w:rtl w:val="0"/>
        </w:rPr>
        <w:t xml:space="preserve"> Despite having strictly more information, Condition D underperforms Condition B for every model. For Gemini, B→D drops from 86.1% to 67.8% (p&lt;0.001); for GPT-4.1, 82.1% to 62.6% (p&lt;0.001); for Claude, 86.7% to 73.9% (p=0.016). This counterintuitive result suggests that visual references introduce noise that partially cancels the benefit of text references. The model appears to anchor on visual similarity when both modalities are available, undermining the more reliable textual signal.</w:t>
        <w:br w:type="textWrapping"/>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w:t>
      </w:r>
      <w:r>
        <w:rPr>
          <w:rFonts w:ascii="Times New Roman" w:cs="Times New Roman" w:eastAsia="Times New Roman" w:hAnsi="Times New Roman"/>
          <w:sz w:val="20"/>
          <w:szCs w:val="20"/>
          <w:rtl w:val="0"/>
        </w:rPr>
        <w:t xml:space="preserve"> </w:t>
        <w:br w:type="textWrapping"/>
        <w:t xml:space="preserve">χ² statistic and raw p-value; significance markers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p&lt;0.05,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p&lt;0.01,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p&lt;0.001) refer to </w:t>
      </w:r>
      <w:r>
        <w:rPr>
          <w:rFonts w:ascii="Times New Roman" w:cs="Times New Roman" w:eastAsia="Times New Roman" w:hAnsi="Times New Roman"/>
          <w:i w:val="1"/>
          <w:iCs w:val="1"/>
          <w:sz w:val="20"/>
          <w:szCs w:val="20"/>
          <w:rtl w:val="0"/>
        </w:rPr>
        <w:t xml:space="preserve">uncorrected</w:t>
      </w:r>
      <w:r>
        <w:rPr>
          <w:rFonts w:ascii="Times New Roman" w:cs="Times New Roman" w:eastAsia="Times New Roman" w:hAnsi="Times New Roman"/>
          <w:sz w:val="20"/>
          <w:szCs w:val="20"/>
          <w:rtl w:val="0"/>
        </w:rPr>
        <w:t xml:space="preserve"> values. Bold indicates pairs that survive Bonferroni correction at α'=0.05/30=0.00167 across the full 30-test family (5 models × 6 condition pairs); the full corrected table is in Appendix H and </w:t>
      </w:r>
      <w:r>
        <w:rPr>
          <w:rFonts w:ascii="Times New Roman" w:cs="Times New Roman" w:eastAsia="Times New Roman" w:hAnsi="Times New Roman"/>
          <w:color w:val="188038"/>
          <w:sz w:val="20"/>
          <w:szCs w:val="20"/>
          <w:rtl w:val="0"/>
        </w:rPr>
        <w:t xml:space="preserve">results/revision_bonferroni.csv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χ²=17.8, </w:t>
            </w:r>
            <w:r>
              <w:rPr>
                <w:rFonts w:ascii="Times New Roman" w:cs="Times New Roman" w:eastAsia="Times New Roman" w:hAnsi="Times New Roman"/>
                <w:b w:val="1"/>
                <w:bCs w:val="1"/>
                <w:sz w:val="20"/>
                <w:szCs w:val="20"/>
                <w:rtl w:val="0"/>
              </w:rPr>
              <w:t xml:space="preserve">p=2.5e-5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χ²=37.0, </w:t>
            </w:r>
            <w:r>
              <w:rPr>
                <w:rFonts w:ascii="Times New Roman" w:cs="Times New Roman" w:eastAsia="Times New Roman" w:hAnsi="Times New Roman"/>
                <w:b w:val="1"/>
                <w:bCs w:val="1"/>
                <w:sz w:val="20"/>
                <w:szCs w:val="20"/>
                <w:rtl w:val="0"/>
              </w:rPr>
              <w:t xml:space="preserve">p=1.2e-9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χ²=79.4, </w:t>
            </w:r>
            <w:r>
              <w:rPr>
                <w:rFonts w:ascii="Times New Roman" w:cs="Times New Roman" w:eastAsia="Times New Roman" w:hAnsi="Times New Roman"/>
                <w:b w:val="1"/>
                <w:bCs w:val="1"/>
                <w:sz w:val="20"/>
                <w:szCs w:val="20"/>
                <w:rtl w:val="0"/>
              </w:rPr>
              <w:t xml:space="preserve">p&lt;1e-15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χ²=1.7, p=.190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χ²=132.6, </w:t>
            </w:r>
            <w:r>
              <w:rPr>
                <w:rFonts w:ascii="Times New Roman" w:cs="Times New Roman" w:eastAsia="Times New Roman" w:hAnsi="Times New Roman"/>
                <w:b w:val="1"/>
                <w:bCs w:val="1"/>
                <w:sz w:val="20"/>
                <w:szCs w:val="20"/>
                <w:rtl w:val="0"/>
              </w:rPr>
              <w:t xml:space="preserve">p&lt;1e-15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χ²=2.6, p=.109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χ²=6.3, p=.012*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χ²=0.9, p=.332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χ²=60.0, </w:t>
            </w:r>
            <w:r>
              <w:rPr>
                <w:rFonts w:ascii="Times New Roman" w:cs="Times New Roman" w:eastAsia="Times New Roman" w:hAnsi="Times New Roman"/>
                <w:b w:val="1"/>
                <w:bCs w:val="1"/>
                <w:sz w:val="20"/>
                <w:szCs w:val="20"/>
                <w:rtl w:val="0"/>
              </w:rPr>
              <w:t xml:space="preserve">p=9.4e-15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χ²=11.3, </w:t>
            </w:r>
            <w:r>
              <w:rPr>
                <w:rFonts w:ascii="Times New Roman" w:cs="Times New Roman" w:eastAsia="Times New Roman" w:hAnsi="Times New Roman"/>
                <w:b w:val="1"/>
                <w:bCs w:val="1"/>
                <w:sz w:val="20"/>
                <w:szCs w:val="20"/>
                <w:rtl w:val="0"/>
              </w:rPr>
              <w:t xml:space="preserve">p=7.9e-4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χ²=22.7, </w:t>
            </w:r>
            <w:r>
              <w:rPr>
                <w:rFonts w:ascii="Times New Roman" w:cs="Times New Roman" w:eastAsia="Times New Roman" w:hAnsi="Times New Roman"/>
                <w:b w:val="1"/>
                <w:bCs w:val="1"/>
                <w:sz w:val="20"/>
                <w:szCs w:val="20"/>
                <w:rtl w:val="0"/>
              </w:rPr>
              <w:t xml:space="preserve">p=1.9e-6</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χ²=16.7, </w:t>
            </w:r>
            <w:r>
              <w:rPr>
                <w:rFonts w:ascii="Times New Roman" w:cs="Times New Roman" w:eastAsia="Times New Roman" w:hAnsi="Times New Roman"/>
                <w:b w:val="1"/>
                <w:bCs w:val="1"/>
                <w:sz w:val="20"/>
                <w:szCs w:val="20"/>
                <w:rtl w:val="0"/>
              </w:rPr>
              <w:t xml:space="preserve">p=4.4e-5</w:t>
            </w:r>
            <w:r>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χ²=41.3, </w:t>
            </w:r>
            <w:r>
              <w:rPr>
                <w:rFonts w:ascii="Times New Roman" w:cs="Times New Roman" w:eastAsia="Times New Roman" w:hAnsi="Times New Roman"/>
                <w:b w:val="1"/>
                <w:bCs w:val="1"/>
                <w:sz w:val="20"/>
                <w:szCs w:val="20"/>
                <w:rtl w:val="0"/>
              </w:rPr>
              <w:t xml:space="preserve">p=1.3e-10</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χ²=0.3, p=.556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χ²=4.7, p=.031*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χ²=5.8, p=.016*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χ²=17.5, </w:t>
            </w:r>
            <w:r>
              <w:rPr>
                <w:rFonts w:ascii="Times New Roman" w:cs="Times New Roman" w:eastAsia="Times New Roman" w:hAnsi="Times New Roman"/>
                <w:b w:val="1"/>
                <w:bCs w:val="1"/>
                <w:sz w:val="20"/>
                <w:szCs w:val="20"/>
                <w:rtl w:val="0"/>
              </w:rPr>
              <w:t xml:space="preserve">p=2.8e-5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χ²=7.9, p=.005**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χ²=15.7, </w:t>
            </w:r>
            <w:r>
              <w:rPr>
                <w:rFonts w:ascii="Times New Roman" w:cs="Times New Roman" w:eastAsia="Times New Roman" w:hAnsi="Times New Roman"/>
                <w:b w:val="1"/>
                <w:bCs w:val="1"/>
                <w:sz w:val="20"/>
                <w:szCs w:val="20"/>
                <w:rtl w:val="0"/>
              </w:rPr>
              <w:t xml:space="preserve">p=7.3e-5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χ²=12.4, </w:t>
            </w:r>
            <w:r>
              <w:rPr>
                <w:rFonts w:ascii="Times New Roman" w:cs="Times New Roman" w:eastAsia="Times New Roman" w:hAnsi="Times New Roman"/>
                <w:b w:val="1"/>
                <w:bCs w:val="1"/>
                <w:sz w:val="20"/>
                <w:szCs w:val="20"/>
                <w:rtl w:val="0"/>
              </w:rPr>
              <w:t xml:space="preserve">p=4.3e-4</w:t>
            </w:r>
            <w:r>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 xml:space="preserve">The A→B improvement is universally significant and </w:t>
      </w:r>
      <w:r>
        <w:rPr>
          <w:rFonts w:ascii="Times New Roman" w:cs="Times New Roman" w:eastAsia="Times New Roman" w:hAnsi="Times New Roman"/>
          <w:b w:val="1"/>
          <w:bCs w:val="1"/>
          <w:sz w:val="20"/>
          <w:szCs w:val="20"/>
          <w:rtl w:val="0"/>
        </w:rPr>
        <w:t xml:space="preserve">survives Bonferroni correction for all five models</w:t>
      </w:r>
      <w:r>
        <w:rPr>
          <w:rFonts w:ascii="Cardo" w:cs="Cardo" w:eastAsia="Cardo" w:hAnsi="Cardo"/>
          <w:sz w:val="20"/>
          <w:szCs w:val="20"/>
          <w:rtl w:val="0"/>
        </w:rPr>
        <w:t xml:space="preserve">. Of the 30 paired tests, 12 are Bonferroni-significant (and the same 12 are Holm-Bonferroni significant). The B→C comparison is informative: for three of five models (GPT-4.1 Nano, GPT-4.1, Gemini 2.5 Flash), switching from text to visual references </w:t>
      </w:r>
      <w:r>
        <w:rPr>
          <w:rFonts w:ascii="Times New Roman" w:cs="Times New Roman" w:eastAsia="Times New Roman" w:hAnsi="Times New Roman"/>
          <w:i w:val="1"/>
          <w:iCs w:val="1"/>
          <w:sz w:val="20"/>
          <w:szCs w:val="20"/>
          <w:rtl w:val="0"/>
        </w:rPr>
        <w:t xml:space="preserve">significantly worsens</w:t>
      </w:r>
      <w:r>
        <w:rPr>
          <w:rFonts w:ascii="Times New Roman" w:cs="Times New Roman" w:eastAsia="Times New Roman" w:hAnsi="Times New Roman"/>
          <w:sz w:val="20"/>
          <w:szCs w:val="20"/>
          <w:rtl w:val="0"/>
        </w:rPr>
        <w:t xml:space="preserve"> performance after correction, confirming that the reference modality, not just its presence, drives the effect. Claude is the most robust to visual references.</w:t>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Condition</w:t>
            </w:r>
          </w:p>
        </w:tc>
        <w:tc>
          <w:tcPr>
            <w:tcW w:type="dxa" w:w="1872"/>
          </w:tcPr>
          <w:p>
            <w:r>
              <w:t>Refs</w:t>
            </w:r>
          </w:p>
        </w:tc>
        <w:tc>
          <w:tcPr>
            <w:tcW w:type="dxa" w:w="1872"/>
          </w:tcPr>
          <w:p>
            <w:r>
              <w:t>Accuracy</w:t>
            </w:r>
          </w:p>
        </w:tc>
        <w:tc>
          <w:tcPr>
            <w:tcW w:type="dxa" w:w="1872"/>
          </w:tcPr>
          <w:p>
            <w:r>
              <w:t>A→B Lift</w:t>
            </w:r>
          </w:p>
        </w:tc>
      </w:tr>
      <w:tr>
        <w:tc>
          <w:tcPr>
            <w:tcW w:type="dxa" w:w="1872"/>
          </w:tcPr>
          <w:p>
            <w:r>
              <w:t>GPT-4.1 Nano</w:t>
            </w:r>
          </w:p>
        </w:tc>
        <w:tc>
          <w:tcPr>
            <w:tcW w:type="dxa" w:w="1872"/>
          </w:tcPr>
          <w:p>
            <w:r>
              <w:t>B</w:t>
            </w:r>
          </w:p>
        </w:tc>
        <w:tc>
          <w:tcPr>
            <w:tcW w:type="dxa" w:w="1872"/>
          </w:tcPr>
          <w:p>
            <w:r>
              <w:t>Self-generated</w:t>
            </w:r>
          </w:p>
        </w:tc>
        <w:tc>
          <w:tcPr>
            <w:tcW w:type="dxa" w:w="1872"/>
          </w:tcPr>
          <w:p>
            <w:r>
              <w:t>83.5%</w:t>
            </w:r>
          </w:p>
        </w:tc>
        <w:tc>
          <w:tcPr>
            <w:tcW w:type="dxa" w:w="1872"/>
          </w:tcPr>
          <w:p>
            <w:r>
              <w:t>+6.9pp</w:t>
            </w:r>
          </w:p>
        </w:tc>
      </w:tr>
      <w:tr>
        <w:tc>
          <w:tcPr>
            <w:tcW w:type="dxa" w:w="1872"/>
          </w:tcPr>
          <w:p>
            <w:r>
              <w:t>GPT-4.1 Nano</w:t>
            </w:r>
          </w:p>
        </w:tc>
        <w:tc>
          <w:tcPr>
            <w:tcW w:type="dxa" w:w="1872"/>
          </w:tcPr>
          <w:p>
            <w:r>
              <w:t>B</w:t>
            </w:r>
          </w:p>
        </w:tc>
        <w:tc>
          <w:tcPr>
            <w:tcW w:type="dxa" w:w="1872"/>
          </w:tcPr>
          <w:p>
            <w:r>
              <w:t>GPT-4.1-mini</w:t>
            </w:r>
          </w:p>
        </w:tc>
        <w:tc>
          <w:tcPr>
            <w:tcW w:type="dxa" w:w="1872"/>
          </w:tcPr>
          <w:p>
            <w:r>
              <w:t>76.8%</w:t>
            </w:r>
          </w:p>
        </w:tc>
        <w:tc>
          <w:tcPr>
            <w:tcW w:type="dxa" w:w="1872"/>
          </w:tcPr>
          <w:p>
            <w:r>
              <w:t>+0.2pp</w:t>
            </w:r>
          </w:p>
        </w:tc>
      </w:tr>
      <w:tr>
        <w:tc>
          <w:tcPr>
            <w:tcW w:type="dxa" w:w="1872"/>
          </w:tcPr>
          <w:p>
            <w:r>
              <w:t>GPT-4.1 Nano</w:t>
            </w:r>
          </w:p>
        </w:tc>
        <w:tc>
          <w:tcPr>
            <w:tcW w:type="dxa" w:w="1872"/>
          </w:tcPr>
          <w:p>
            <w:r>
              <w:t>B</w:t>
            </w:r>
          </w:p>
        </w:tc>
        <w:tc>
          <w:tcPr>
            <w:tcW w:type="dxa" w:w="1872"/>
          </w:tcPr>
          <w:p>
            <w:r>
              <w:t>Claude Sonnet 4</w:t>
            </w:r>
          </w:p>
        </w:tc>
        <w:tc>
          <w:tcPr>
            <w:tcW w:type="dxa" w:w="1872"/>
          </w:tcPr>
          <w:p>
            <w:r>
              <w:t>79.4%</w:t>
            </w:r>
          </w:p>
        </w:tc>
        <w:tc>
          <w:tcPr>
            <w:tcW w:type="dxa" w:w="1872"/>
          </w:tcPr>
          <w:p>
            <w:r>
              <w:t>+2.9pp</w:t>
            </w:r>
          </w:p>
        </w:tc>
      </w:tr>
    </w:tbl>
    <w:p>
      <w:r>
        <w:t>Table 6: Cross-model text reference verification results. The A→B lift largely disappears when using independently generated references.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Condition</w:t>
            </w:r>
          </w:p>
        </w:tc>
        <w:tc>
          <w:tcPr>
            <w:tcW w:type="dxa" w:w="1560"/>
          </w:tcPr>
          <w:p>
            <w:r>
              <w:t>Errors</w:t>
            </w:r>
          </w:p>
        </w:tc>
        <w:tc>
          <w:tcPr>
            <w:tcW w:type="dxa" w:w="1560"/>
          </w:tcPr>
          <w:p>
            <w:r>
              <w:t>ITT Lower</w:t>
            </w:r>
          </w:p>
        </w:tc>
        <w:tc>
          <w:tcPr>
            <w:tcW w:type="dxa" w:w="1560"/>
          </w:tcPr>
          <w:p>
            <w:r>
              <w:t>ITT Upper</w:t>
            </w:r>
          </w:p>
        </w:tc>
        <w:tc>
          <w:tcPr>
            <w:tcW w:type="dxa" w:w="1560"/>
          </w:tcPr>
          <w:p>
            <w:r>
              <w:t>Per-Protocol</w:t>
            </w:r>
          </w:p>
        </w:tc>
      </w:tr>
      <w:tr>
        <w:tc>
          <w:tcPr>
            <w:tcW w:type="dxa" w:w="1560"/>
          </w:tcPr>
          <w:p>
            <w:r>
              <w:t>GPT-4.1 Nano</w:t>
            </w:r>
          </w:p>
        </w:tc>
        <w:tc>
          <w:tcPr>
            <w:tcW w:type="dxa" w:w="1560"/>
          </w:tcPr>
          <w:p>
            <w:r>
              <w:t>A</w:t>
            </w:r>
          </w:p>
        </w:tc>
        <w:tc>
          <w:tcPr>
            <w:tcW w:type="dxa" w:w="1560"/>
          </w:tcPr>
          <w:p>
            <w:r>
              <w:t>10 (1.1%)</w:t>
            </w:r>
          </w:p>
        </w:tc>
        <w:tc>
          <w:tcPr>
            <w:tcW w:type="dxa" w:w="1560"/>
          </w:tcPr>
          <w:p>
            <w:r>
              <w:t>76.6%</w:t>
            </w:r>
          </w:p>
        </w:tc>
        <w:tc>
          <w:tcPr>
            <w:tcW w:type="dxa" w:w="1560"/>
          </w:tcPr>
          <w:p>
            <w:r>
              <w:t>77.7%</w:t>
            </w:r>
          </w:p>
        </w:tc>
        <w:tc>
          <w:tcPr>
            <w:tcW w:type="dxa" w:w="1560"/>
          </w:tcPr>
          <w:p>
            <w:r>
              <w:t>77.4%</w:t>
            </w:r>
          </w:p>
        </w:tc>
      </w:tr>
      <w:tr>
        <w:tc>
          <w:tcPr>
            <w:tcW w:type="dxa" w:w="1560"/>
          </w:tcPr>
          <w:p>
            <w:r>
              <w:t>GPT-4.1 Nano</w:t>
            </w:r>
          </w:p>
        </w:tc>
        <w:tc>
          <w:tcPr>
            <w:tcW w:type="dxa" w:w="1560"/>
          </w:tcPr>
          <w:p>
            <w:r>
              <w:t>B</w:t>
            </w:r>
          </w:p>
        </w:tc>
        <w:tc>
          <w:tcPr>
            <w:tcW w:type="dxa" w:w="1560"/>
          </w:tcPr>
          <w:p>
            <w:r>
              <w:t>10 (1.1%)</w:t>
            </w:r>
          </w:p>
        </w:tc>
        <w:tc>
          <w:tcPr>
            <w:tcW w:type="dxa" w:w="1560"/>
          </w:tcPr>
          <w:p>
            <w:r>
              <w:t>82.7%</w:t>
            </w:r>
          </w:p>
        </w:tc>
        <w:tc>
          <w:tcPr>
            <w:tcW w:type="dxa" w:w="1560"/>
          </w:tcPr>
          <w:p>
            <w:r>
              <w:t>83.8%</w:t>
            </w:r>
          </w:p>
        </w:tc>
        <w:tc>
          <w:tcPr>
            <w:tcW w:type="dxa" w:w="1560"/>
          </w:tcPr>
          <w:p>
            <w:r>
              <w:t>83.7%</w:t>
            </w:r>
          </w:p>
        </w:tc>
      </w:tr>
      <w:tr>
        <w:tc>
          <w:tcPr>
            <w:tcW w:type="dxa" w:w="1560"/>
          </w:tcPr>
          <w:p>
            <w:r>
              <w:t>GPT-4.1 Nano</w:t>
            </w:r>
          </w:p>
        </w:tc>
        <w:tc>
          <w:tcPr>
            <w:tcW w:type="dxa" w:w="1560"/>
          </w:tcPr>
          <w:p>
            <w:r>
              <w:t>C</w:t>
            </w:r>
          </w:p>
        </w:tc>
        <w:tc>
          <w:tcPr>
            <w:tcW w:type="dxa" w:w="1560"/>
          </w:tcPr>
          <w:p>
            <w:r>
              <w:t>4 (2.8%)</w:t>
            </w:r>
          </w:p>
        </w:tc>
        <w:tc>
          <w:tcPr>
            <w:tcW w:type="dxa" w:w="1560"/>
          </w:tcPr>
          <w:p>
            <w:r>
              <w:t>60.5%</w:t>
            </w:r>
          </w:p>
        </w:tc>
        <w:tc>
          <w:tcPr>
            <w:tcW w:type="dxa" w:w="1560"/>
          </w:tcPr>
          <w:p>
            <w:r>
              <w:t>63.3%</w:t>
            </w:r>
          </w:p>
        </w:tc>
        <w:tc>
          <w:tcPr>
            <w:tcW w:type="dxa" w:w="1560"/>
          </w:tcPr>
          <w:p>
            <w:r>
              <w:t>62.2%</w:t>
            </w:r>
          </w:p>
        </w:tc>
      </w:tr>
      <w:tr>
        <w:tc>
          <w:tcPr>
            <w:tcW w:type="dxa" w:w="1560"/>
          </w:tcPr>
          <w:p>
            <w:r>
              <w:t>GPT-4.1 Nano</w:t>
            </w:r>
          </w:p>
        </w:tc>
        <w:tc>
          <w:tcPr>
            <w:tcW w:type="dxa" w:w="1560"/>
          </w:tcPr>
          <w:p>
            <w:r>
              <w:t>D</w:t>
            </w:r>
          </w:p>
        </w:tc>
        <w:tc>
          <w:tcPr>
            <w:tcW w:type="dxa" w:w="1560"/>
          </w:tcPr>
          <w:p>
            <w:r>
              <w:t>5 (3.4%)</w:t>
            </w:r>
          </w:p>
        </w:tc>
        <w:tc>
          <w:tcPr>
            <w:tcW w:type="dxa" w:w="1560"/>
          </w:tcPr>
          <w:p>
            <w:r>
              <w:t>72.4%</w:t>
            </w:r>
          </w:p>
        </w:tc>
        <w:tc>
          <w:tcPr>
            <w:tcW w:type="dxa" w:w="1560"/>
          </w:tcPr>
          <w:p>
            <w:r>
              <w:t>76.6%</w:t>
            </w:r>
          </w:p>
        </w:tc>
        <w:tc>
          <w:tcPr>
            <w:tcW w:type="dxa" w:w="1560"/>
          </w:tcPr>
          <w:p>
            <w:r>
              <w:t>75.2%</w:t>
            </w:r>
          </w:p>
        </w:tc>
      </w:tr>
    </w:tbl>
    <w:p>
      <w:r>
        <w:t>Table 7: Intent-to-treat (ITT) bounds and per-protocol accuracy.</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(ii) visual references (C) underperform A for GPT-4.1 and Gemini, are essentially neutral for Claude, and recover for GPT-4.1 Nano and GPT-4.1 Mini relative to the small-N values in Table 1; (iii) D never beats B. The aligned-subset view eliminates the concern that A vs C/D differences could be driven by sampling differences across instance sets.</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5.3 Failure Type Analysis</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Condition</w:t>
            </w:r>
          </w:p>
        </w:tc>
        <w:tc>
          <w:tcPr>
            <w:tcW w:type="dxa" w:w="1560"/>
          </w:tcPr>
          <w:p>
            <w:r>
              <w:t>Obvious</w:t>
            </w:r>
          </w:p>
        </w:tc>
        <w:tc>
          <w:tcPr>
            <w:tcW w:type="dxa" w:w="1560"/>
          </w:tcPr>
          <w:p>
            <w:r>
              <w:t>Deceptive</w:t>
            </w:r>
          </w:p>
        </w:tc>
        <w:tc>
          <w:tcPr>
            <w:tcW w:type="dxa" w:w="1560"/>
          </w:tcPr>
          <w:p>
            <w:r>
              <w:t>Partial</w:t>
            </w:r>
          </w:p>
        </w:tc>
        <w:tc>
          <w:tcPr>
            <w:tcW w:type="dxa" w:w="1560"/>
          </w:tcPr>
          <w:p>
            <w:r>
              <w:t>Overall</w:t>
            </w:r>
          </w:p>
        </w:tc>
      </w:tr>
      <w:tr>
        <w:tc>
          <w:tcPr>
            <w:tcW w:type="dxa" w:w="1560"/>
          </w:tcPr>
          <w:p>
            <w:r>
              <w:t>GPT-4.1 Nano</w:t>
            </w:r>
          </w:p>
        </w:tc>
        <w:tc>
          <w:tcPr>
            <w:tcW w:type="dxa" w:w="1560"/>
          </w:tcPr>
          <w:p>
            <w:r>
              <w:t>A</w:t>
            </w:r>
          </w:p>
        </w:tc>
        <w:tc>
          <w:tcPr>
            <w:tcW w:type="dxa" w:w="1560"/>
          </w:tcPr>
          <w:p>
            <w:r>
              <w:t>76.5%</w:t>
            </w:r>
          </w:p>
        </w:tc>
        <w:tc>
          <w:tcPr>
            <w:tcW w:type="dxa" w:w="1560"/>
          </w:tcPr>
          <w:p>
            <w:r>
              <w:t>83.8%</w:t>
            </w:r>
          </w:p>
        </w:tc>
        <w:tc>
          <w:tcPr>
            <w:tcW w:type="dxa" w:w="1560"/>
          </w:tcPr>
          <w:p>
            <w:r>
              <w:t>93.6%</w:t>
            </w:r>
          </w:p>
        </w:tc>
        <w:tc>
          <w:tcPr>
            <w:tcW w:type="dxa" w:w="1560"/>
          </w:tcPr>
          <w:p>
            <w:r>
              <w:t>77.4%</w:t>
            </w:r>
          </w:p>
        </w:tc>
      </w:tr>
      <w:tr>
        <w:tc>
          <w:tcPr>
            <w:tcW w:type="dxa" w:w="1560"/>
          </w:tcPr>
          <w:p>
            <w:r>
              <w:t>GPT-4.1 Nano</w:t>
            </w:r>
          </w:p>
        </w:tc>
        <w:tc>
          <w:tcPr>
            <w:tcW w:type="dxa" w:w="1560"/>
          </w:tcPr>
          <w:p>
            <w:r>
              <w:t>B</w:t>
            </w:r>
          </w:p>
        </w:tc>
        <w:tc>
          <w:tcPr>
            <w:tcW w:type="dxa" w:w="1560"/>
          </w:tcPr>
          <w:p>
            <w:r>
              <w:t>83.0%</w:t>
            </w:r>
          </w:p>
        </w:tc>
        <w:tc>
          <w:tcPr>
            <w:tcW w:type="dxa" w:w="1560"/>
          </w:tcPr>
          <w:p>
            <w:r>
              <w:t>86.6%</w:t>
            </w:r>
          </w:p>
        </w:tc>
        <w:tc>
          <w:tcPr>
            <w:tcW w:type="dxa" w:w="1560"/>
          </w:tcPr>
          <w:p>
            <w:r>
              <w:t>94.3%</w:t>
            </w:r>
          </w:p>
        </w:tc>
        <w:tc>
          <w:tcPr>
            <w:tcW w:type="dxa" w:w="1560"/>
          </w:tcPr>
          <w:p>
            <w:r>
              <w:t>83.7%</w:t>
            </w:r>
          </w:p>
        </w:tc>
      </w:tr>
      <w:tr>
        <w:tc>
          <w:tcPr>
            <w:tcW w:type="dxa" w:w="1560"/>
          </w:tcPr>
          <w:p>
            <w:r>
              <w:t>GPT-4.1 Mini</w:t>
            </w:r>
          </w:p>
        </w:tc>
        <w:tc>
          <w:tcPr>
            <w:tcW w:type="dxa" w:w="1560"/>
          </w:tcPr>
          <w:p>
            <w:r>
              <w:t>A</w:t>
            </w:r>
          </w:p>
        </w:tc>
        <w:tc>
          <w:tcPr>
            <w:tcW w:type="dxa" w:w="1560"/>
          </w:tcPr>
          <w:p>
            <w:r>
              <w:t>82.4%</w:t>
            </w:r>
          </w:p>
        </w:tc>
        <w:tc>
          <w:tcPr>
            <w:tcW w:type="dxa" w:w="1560"/>
          </w:tcPr>
          <w:p>
            <w:r>
              <w:t>86.3%</w:t>
            </w:r>
          </w:p>
        </w:tc>
        <w:tc>
          <w:tcPr>
            <w:tcW w:type="dxa" w:w="1560"/>
          </w:tcPr>
          <w:p>
            <w:r>
              <w:t>94.3%</w:t>
            </w:r>
          </w:p>
        </w:tc>
        <w:tc>
          <w:tcPr>
            <w:tcW w:type="dxa" w:w="1560"/>
          </w:tcPr>
          <w:p>
            <w:r>
              <w:t>80.9%</w:t>
            </w:r>
          </w:p>
        </w:tc>
      </w:tr>
      <w:tr>
        <w:tc>
          <w:tcPr>
            <w:tcW w:type="dxa" w:w="1560"/>
          </w:tcPr>
          <w:p>
            <w:r>
              <w:t>GPT-4.1 Mini</w:t>
            </w:r>
          </w:p>
        </w:tc>
        <w:tc>
          <w:tcPr>
            <w:tcW w:type="dxa" w:w="1560"/>
          </w:tcPr>
          <w:p>
            <w:r>
              <w:t>B</w:t>
            </w:r>
          </w:p>
        </w:tc>
        <w:tc>
          <w:tcPr>
            <w:tcW w:type="dxa" w:w="1560"/>
          </w:tcPr>
          <w:p>
            <w:r>
              <w:t>88.9%</w:t>
            </w:r>
          </w:p>
        </w:tc>
        <w:tc>
          <w:tcPr>
            <w:tcW w:type="dxa" w:w="1560"/>
          </w:tcPr>
          <w:p>
            <w:r>
              <w:t>90.1%</w:t>
            </w:r>
          </w:p>
        </w:tc>
        <w:tc>
          <w:tcPr>
            <w:tcW w:type="dxa" w:w="1560"/>
          </w:tcPr>
          <w:p>
            <w:r>
              <w:t>95.6%</w:t>
            </w:r>
          </w:p>
        </w:tc>
        <w:tc>
          <w:tcPr>
            <w:tcW w:type="dxa" w:w="1560"/>
          </w:tcPr>
          <w:p>
            <w:r>
              <w:t>86.5%</w:t>
            </w:r>
          </w:p>
        </w:tc>
      </w:tr>
    </w:tbl>
    <w:p>
      <w:r>
        <w:t>Table 8: Verification accuracy by failure type.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.833 (+.068)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.926 (</w:t>
            </w:r>
            <w:r>
              <w:rPr>
                <w:rFonts w:ascii="Times New Roman" w:cs="Times New Roman" w:eastAsia="Times New Roman" w:hAnsi="Times New Roman"/>
                <w:b w:val="1"/>
                <w:bCs w:val="1"/>
                <w:sz w:val="20"/>
                <w:szCs w:val="20"/>
                <w:rtl w:val="0"/>
              </w:rPr>
              <w:t xml:space="preserve">+.088</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w:t>
            </w:r>
            <w:r>
              <w:rPr>
                <w:rFonts w:ascii="Times New Roman" w:cs="Times New Roman" w:eastAsia="Times New Roman" w:hAnsi="Times New Roman"/>
                <w:b w:val="1"/>
                <w:bCs w:val="1"/>
                <w:sz w:val="20"/>
                <w:szCs w:val="20"/>
                <w:rtl w:val="0"/>
              </w:rPr>
              <w:t xml:space="preserve">+.279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w:t>
            </w:r>
            <w:r>
              <w:rPr>
                <w:rFonts w:ascii="Times New Roman" w:cs="Times New Roman" w:eastAsia="Times New Roman" w:hAnsi="Times New Roman"/>
                <w:b w:val="1"/>
                <w:bCs w:val="1"/>
                <w:sz w:val="20"/>
                <w:szCs w:val="20"/>
                <w:rtl w:val="0"/>
              </w:rPr>
              <w:t xml:space="preserve">+.164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.866 (</w:t>
            </w:r>
            <w:r>
              <w:rPr>
                <w:rFonts w:ascii="Times New Roman" w:cs="Times New Roman" w:eastAsia="Times New Roman" w:hAnsi="Times New Roman"/>
                <w:b w:val="1"/>
                <w:bCs w:val="1"/>
                <w:sz w:val="20"/>
                <w:szCs w:val="20"/>
                <w:rtl w:val="0"/>
              </w:rPr>
              <w:t xml:space="preserve">+.125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 (</w:t>
            </w:r>
            <w:r>
              <w:rPr>
                <w:rFonts w:ascii="Times New Roman" w:cs="Times New Roman" w:eastAsia="Times New Roman" w:hAnsi="Times New Roman"/>
                <w:b w:val="1"/>
                <w:bCs w:val="1"/>
                <w:sz w:val="20"/>
                <w:szCs w:val="20"/>
                <w:rtl w:val="0"/>
              </w:rPr>
              <w:t xml:space="preserve">+.052</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(+.038)</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w:t>
      </w:r>
      <w:r>
        <w:rPr>
          <w:rFonts w:ascii="Times New Roman" w:cs="Times New Roman" w:eastAsia="Times New Roman" w:hAnsi="Times New Roman"/>
          <w:sz w:val="20"/>
          <w:szCs w:val="20"/>
          <w:rtl w:val="0"/>
        </w:rPr>
        <w:t xml:space="preserve"> Across all models, deceptive failure accuracy improves by 5.2–27.9 percentage points with text references. For GPT-4.1 Mini, accuracy on deceptive failures nearly doubles from 56.1% to 84.0%. This is the paper's core practical insight: text references are most valuable precisely where verification is hardest.</w:t>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However, the pattern varies by model capability. For GPT-4.1 Mini and GPT-4.1 (the mid-range models), the gains are actually largest on </w:t>
      </w:r>
      <w:r>
        <w:rPr>
          <w:rFonts w:ascii="Times New Roman" w:cs="Times New Roman" w:eastAsia="Times New Roman" w:hAnsi="Times New Roman"/>
          <w:i w:val="1"/>
          <w:iCs w:val="1"/>
          <w:sz w:val="20"/>
          <w:szCs w:val="20"/>
          <w:rtl w:val="0"/>
        </w:rPr>
        <w:t xml:space="preserve">obvious</w:t>
      </w:r>
      <w:r>
        <w:rPr>
          <w:rFonts w:ascii="Times New Roman" w:cs="Times New Roman" w:eastAsia="Times New Roman" w:hAnsi="Times New Roman"/>
          <w:sz w:val="20"/>
          <w:szCs w:val="20"/>
          <w:rtl w:val="0"/>
        </w:rPr>
        <w:t xml:space="preserve">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546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5461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Computing SSIM between actual and reference screenshots on the 147 visual-reference instances yields a stark null result: the mean SSIM for SUCCESS instances (0.440 ± 0.118) is statistically indistinguishable from FAILURE instances (0.438 ± 0.114). The optimal threshold (0.80) achieves 81.0% accuracy, identical to the majority-class baseline, with 0.000 F1 (it predicts all instances as FAILURE).</w:t>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tbl>
      <w:tblPr>
        <w:tblW w:type="auto" w:w="0"/>
        <w:tblLook w:firstColumn="1" w:firstRow="1" w:lastColumn="0" w:lastRow="0" w:noHBand="0" w:noVBand="1" w:val="04A0"/>
      </w:tblPr>
      <w:tblGrid>
        <w:gridCol w:w="2340"/>
        <w:gridCol w:w="2340"/>
        <w:gridCol w:w="2340"/>
        <w:gridCol w:w="2340"/>
      </w:tblGrid>
      <w:tr>
        <w:tc>
          <w:tcPr>
            <w:tcW w:type="dxa" w:w="2340"/>
          </w:tcPr>
          <w:p>
            <w:r>
              <w:t>Method</w:t>
            </w:r>
          </w:p>
        </w:tc>
        <w:tc>
          <w:tcPr>
            <w:tcW w:type="dxa" w:w="2340"/>
          </w:tcPr>
          <w:p>
            <w:r>
              <w:t>Accuracy</w:t>
            </w:r>
          </w:p>
        </w:tc>
        <w:tc>
          <w:tcPr>
            <w:tcW w:type="dxa" w:w="2340"/>
          </w:tcPr>
          <w:p>
            <w:r>
              <w:t>F1</w:t>
            </w:r>
          </w:p>
        </w:tc>
        <w:tc>
          <w:tcPr>
            <w:tcW w:type="dxa" w:w="2340"/>
          </w:tcPr>
          <w:p>
            <w:r>
              <w:t>FPR</w:t>
            </w:r>
          </w:p>
        </w:tc>
      </w:tr>
      <w:tr>
        <w:tc>
          <w:tcPr>
            <w:tcW w:type="dxa" w:w="2340"/>
          </w:tcPr>
          <w:p>
            <w:r>
              <w:t>pHash</w:t>
            </w:r>
          </w:p>
        </w:tc>
        <w:tc>
          <w:tcPr>
            <w:tcW w:type="dxa" w:w="2340"/>
          </w:tcPr>
          <w:p>
            <w:r>
              <w:t>69.4%</w:t>
            </w:r>
          </w:p>
        </w:tc>
        <w:tc>
          <w:tcPr>
            <w:tcW w:type="dxa" w:w="2340"/>
          </w:tcPr>
          <w:p>
            <w:r>
              <w:t>10.0%</w:t>
            </w:r>
          </w:p>
        </w:tc>
        <w:tc>
          <w:tcPr>
            <w:tcW w:type="dxa" w:w="2340"/>
          </w:tcPr>
          <w:p>
            <w:r>
              <w:t>19.2%</w:t>
            </w:r>
          </w:p>
        </w:tc>
      </w:tr>
      <w:tr>
        <w:tc>
          <w:tcPr>
            <w:tcW w:type="dxa" w:w="2340"/>
          </w:tcPr>
          <w:p>
            <w:r>
              <w:t>SSIM</w:t>
            </w:r>
          </w:p>
        </w:tc>
        <w:tc>
          <w:tcPr>
            <w:tcW w:type="dxa" w:w="2340"/>
          </w:tcPr>
          <w:p>
            <w:r>
              <w:t>23.6%</w:t>
            </w:r>
          </w:p>
        </w:tc>
        <w:tc>
          <w:tcPr>
            <w:tcW w:type="dxa" w:w="2340"/>
          </w:tcPr>
          <w:p>
            <w:r>
              <w:t>27.9%</w:t>
            </w:r>
          </w:p>
        </w:tc>
        <w:tc>
          <w:tcPr>
            <w:tcW w:type="dxa" w:w="2340"/>
          </w:tcPr>
          <w:p>
            <w:r>
              <w:t>89.5%</w:t>
            </w:r>
          </w:p>
        </w:tc>
      </w:tr>
      <w:tr>
        <w:tc>
          <w:tcPr>
            <w:tcW w:type="dxa" w:w="2340"/>
          </w:tcPr>
          <w:p>
            <w:r>
              <w:t>GPT-4.1 Nano (A)</w:t>
            </w:r>
          </w:p>
        </w:tc>
        <w:tc>
          <w:tcPr>
            <w:tcW w:type="dxa" w:w="2340"/>
          </w:tcPr>
          <w:p>
            <w:r>
              <w:t>77.4%</w:t>
            </w:r>
          </w:p>
        </w:tc>
        <w:tc>
          <w:tcPr>
            <w:tcW w:type="dxa" w:w="2340"/>
          </w:tcPr>
          <w:p>
            <w:r>
              <w:t>32.6%</w:t>
            </w:r>
          </w:p>
        </w:tc>
        <w:tc>
          <w:tcPr>
            <w:tcW w:type="dxa" w:w="2340"/>
          </w:tcPr>
          <w:p>
            <w:r>
              <w:t>13.6%</w:t>
            </w:r>
          </w:p>
        </w:tc>
      </w:tr>
      <w:tr>
        <w:tc>
          <w:tcPr>
            <w:tcW w:type="dxa" w:w="2340"/>
          </w:tcPr>
          <w:p>
            <w:r>
              <w:t>GPT-4.1 Nano (B)</w:t>
            </w:r>
          </w:p>
        </w:tc>
        <w:tc>
          <w:tcPr>
            <w:tcW w:type="dxa" w:w="2340"/>
          </w:tcPr>
          <w:p>
            <w:r>
              <w:t>83.7%</w:t>
            </w:r>
          </w:p>
        </w:tc>
        <w:tc>
          <w:tcPr>
            <w:tcW w:type="dxa" w:w="2340"/>
          </w:tcPr>
          <w:p>
            <w:r>
              <w:t>48.8%</w:t>
            </w:r>
          </w:p>
        </w:tc>
        <w:tc>
          <w:tcPr>
            <w:tcW w:type="dxa" w:w="2340"/>
          </w:tcPr>
          <w:p>
            <w:r>
              <w:t>9.1%</w:t>
            </w:r>
          </w:p>
        </w:tc>
      </w:tr>
    </w:tbl>
    <w:p>
      <w:r>
        <w:t>Table 10: Non-LLM baseline comparison.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Original</w:t>
            </w:r>
          </w:p>
        </w:tc>
        <w:tc>
          <w:tcPr>
            <w:tcW w:type="dxa" w:w="1872"/>
          </w:tcPr>
          <w:p>
            <w:r>
              <w:t>Short</w:t>
            </w:r>
          </w:p>
        </w:tc>
        <w:tc>
          <w:tcPr>
            <w:tcW w:type="dxa" w:w="1872"/>
          </w:tcPr>
          <w:p>
            <w:r>
              <w:t>Noisy</w:t>
            </w:r>
          </w:p>
        </w:tc>
        <w:tc>
          <w:tcPr>
            <w:tcW w:type="dxa" w:w="1872"/>
          </w:tcPr>
          <w:p>
            <w:r>
              <w:t>Wrong</w:t>
            </w:r>
          </w:p>
        </w:tc>
      </w:tr>
      <w:tr>
        <w:tc>
          <w:tcPr>
            <w:tcW w:type="dxa" w:w="1872"/>
          </w:tcPr>
          <w:p>
            <w:r>
              <w:t>GPT-4.1 Mini</w:t>
            </w:r>
          </w:p>
        </w:tc>
        <w:tc>
          <w:tcPr>
            <w:tcW w:type="dxa" w:w="1872"/>
          </w:tcPr>
          <w:p>
            <w:r>
              <w:t>86.5%</w:t>
            </w:r>
          </w:p>
        </w:tc>
        <w:tc>
          <w:tcPr>
            <w:tcW w:type="dxa" w:w="1872"/>
          </w:tcPr>
          <w:p>
            <w:r>
              <w:t>70.0%</w:t>
            </w:r>
          </w:p>
        </w:tc>
        <w:tc>
          <w:tcPr>
            <w:tcW w:type="dxa" w:w="1872"/>
          </w:tcPr>
          <w:p>
            <w:r>
              <w:t>70.0%</w:t>
            </w:r>
          </w:p>
        </w:tc>
        <w:tc>
          <w:tcPr>
            <w:tcW w:type="dxa" w:w="1872"/>
          </w:tcPr>
          <w:p>
            <w:r>
              <w:t>87.0%</w:t>
            </w:r>
          </w:p>
        </w:tc>
      </w:tr>
      <w:tr>
        <w:tc>
          <w:tcPr>
            <w:tcW w:type="dxa" w:w="1872"/>
          </w:tcPr>
          <w:p>
            <w:r>
              <w:t>Claude Sonnet 4</w:t>
            </w:r>
          </w:p>
        </w:tc>
        <w:tc>
          <w:tcPr>
            <w:tcW w:type="dxa" w:w="1872"/>
          </w:tcPr>
          <w:p>
            <w:r>
              <w:t>79.3%</w:t>
            </w:r>
          </w:p>
        </w:tc>
        <w:tc>
          <w:tcPr>
            <w:tcW w:type="dxa" w:w="1872"/>
          </w:tcPr>
          <w:p>
            <w:r>
              <w:t>77.0%</w:t>
            </w:r>
          </w:p>
        </w:tc>
        <w:tc>
          <w:tcPr>
            <w:tcW w:type="dxa" w:w="1872"/>
          </w:tcPr>
          <w:p>
            <w:r>
              <w:t>67.0%</w:t>
            </w:r>
          </w:p>
        </w:tc>
        <w:tc>
          <w:tcPr>
            <w:tcW w:type="dxa" w:w="1872"/>
          </w:tcPr>
          <w:p>
            <w:r>
              <w:t>N/A</w:t>
            </w:r>
          </w:p>
        </w:tc>
      </w:tr>
    </w:tbl>
    <w:p>
      <w:r>
        <w:t>Table 9: Text reference quality ablation.</w:t>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.285 / .306 /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 / .182 /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.219 / .219 / .268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 / .158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.422 / .441 / .453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.334 / .334 / .363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.030</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.163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.046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.126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.175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.089</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.194</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.135 / .164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.103 / .111 /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.298 / .310 /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 / .301 / .312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5: Claude is the best-calibrated verifier on all three measures, in every condition.</w:t>
      </w:r>
      <w:r>
        <w:rPr>
          <w:rFonts w:ascii="Times New Roman" w:cs="Times New Roman" w:eastAsia="Times New Roman" w:hAnsi="Times New Roman"/>
          <w:sz w:val="20"/>
          <w:szCs w:val="20"/>
          <w:rtl w:val="0"/>
        </w:rPr>
        <w:t xml:space="preserve"> This holds whether we bin coarsely (3 bins, matching elicitation) or finely (15 equal-mass bins), and is confirmed by the binning-free Brier score. Claude's near-perfect ECE_3bin (e.g., 0.015 in Condition A) loosens slightly under finer binning (ECE_15bin = 0.030) but remains 4–14× lower than the next-best model in every condition.</w:t>
        <w:br w:type="textWrapping"/>
        <w:br w:type="textWrapping"/>
      </w:r>
      <w:r>
        <w:rPr/>
        <w:drawing>
          <wp:inline distB="0" distT="0" distL="114300" distR="114300">
            <wp:extent cx="2743200" cy="546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43200" cy="5461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5: Calibration reliability diagrams for Conditions A and B across all five models.</w:t>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9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11,322 verification API calls at a total cost of </w:t>
      </w:r>
      <w:r>
        <w:rPr>
          <w:rFonts w:ascii="Times New Roman" w:cs="Times New Roman" w:eastAsia="Times New Roman" w:hAnsi="Times New Roman"/>
          <w:b w:val="1"/>
          <w:bCs w:val="1"/>
          <w:sz w:val="20"/>
          <w:szCs w:val="20"/>
          <w:rtl w:val="0"/>
        </w:rPr>
        <w:t xml:space="preserve">$32.85</w:t>
      </w:r>
      <w:r>
        <w:rPr>
          <w:rFonts w:ascii="Times New Roman" w:cs="Times New Roman" w:eastAsia="Times New Roman" w:hAnsi="Times New Roman"/>
          <w:sz w:val="20"/>
          <w:szCs w:val="20"/>
          <w:rtl w:val="0"/>
        </w:rPr>
        <w:t xml:space="preserve"> (per-call costs and latency in </w:t>
      </w:r>
      <w:r>
        <w:rPr>
          <w:rFonts w:ascii="Times New Roman" w:cs="Times New Roman" w:eastAsia="Times New Roman" w:hAnsi="Times New Roman"/>
          <w:color w:val="188038"/>
          <w:sz w:val="20"/>
          <w:szCs w:val="20"/>
          <w:rtl w:val="0"/>
        </w:rPr>
        <w:t xml:space="preserve">results/revision_cost_latency.csv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w:t>
      </w:r>
      <w:r>
        <w:rPr>
          <w:rFonts w:ascii="Times New Roman" w:cs="Times New Roman" w:eastAsia="Times New Roman" w:hAnsi="Times New Roman"/>
          <w:sz w:val="20"/>
          <w:szCs w:val="20"/>
          <w:rtl w:val="0"/>
        </w:rPr>
        <w:t xml:space="preserve"> GPT-4.1 Nano $0.86, GPT-4.1 Mini $1.85, GPT-4.1 $7.55, Claude Sonnet 4 $21.87, Gemini 2.5 Flash $0.74. </w:t>
      </w:r>
      <w:r>
        <w:rPr>
          <w:rFonts w:ascii="Times New Roman" w:cs="Times New Roman" w:eastAsia="Times New Roman" w:hAnsi="Times New Roman"/>
          <w:b w:val="1"/>
          <w:bCs w:val="1"/>
          <w:sz w:val="20"/>
          <w:szCs w:val="20"/>
          <w:rtl w:val="0"/>
        </w:rPr>
        <w:t xml:space="preserve">Per-call cost</w:t>
      </w:r>
      <w:r>
        <w:rPr>
          <w:rFonts w:ascii="Times New Roman" w:cs="Times New Roman" w:eastAsia="Times New Roman" w:hAnsi="Times New Roman"/>
          <w:sz w:val="20"/>
          <w:szCs w:val="20"/>
          <w:rtl w:val="0"/>
        </w:rPr>
        <w:t xml:space="preserve"> ranges from $0.0002 (Gemini 2.5 Flash) to $0.0130 (Claude Sonnet 4 in Condition C). </w:t>
      </w:r>
      <w:r>
        <w:rPr>
          <w:rFonts w:ascii="Times New Roman" w:cs="Times New Roman" w:eastAsia="Times New Roman" w:hAnsi="Times New Roman"/>
          <w:b w:val="1"/>
          <w:bCs w:val="1"/>
          <w:sz w:val="20"/>
          <w:szCs w:val="20"/>
          <w:rtl w:val="0"/>
        </w:rPr>
        <w:t xml:space="preserve">Per-call latency (p95)</w:t>
      </w:r>
      <w:r>
        <w:rPr>
          <w:rFonts w:ascii="Times New Roman" w:cs="Times New Roman" w:eastAsia="Times New Roman" w:hAnsi="Times New Roman"/>
          <w:sz w:val="20"/>
          <w:szCs w:val="20"/>
          <w:rtl w:val="0"/>
        </w:rPr>
        <w:t xml:space="preserve"> ranges from 2.6s (Gemini 2.5 Flash) to 31.0s (GPT-4.1 in Condition C, where two high-resolution images are sent). Adding a text reference (A→B) increases per-call cost by less than 10% on average and per-call latency negligibly, supporting the practical recommendation in Section 6: text references are a near-zero-cost upgrade.</w:t>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w:t>
      </w:r>
      <w:r>
        <w:rPr>
          <w:rFonts w:ascii="Times New Roman" w:cs="Times New Roman" w:eastAsia="Times New Roman" w:hAnsi="Times New Roman"/>
          <w:b w:val="1"/>
          <w:bCs w:val="1"/>
          <w:sz w:val="20"/>
          <w:szCs w:val="20"/>
          <w:rtl w:val="0"/>
        </w:rPr>
        <w:t xml:space="preserve">false positives</w:t>
      </w:r>
      <w:r>
        <w:rPr>
          <w:rFonts w:ascii="Times New Roman" w:cs="Times New Roman" w:eastAsia="Times New Roman" w:hAnsi="Times New Roman"/>
          <w:sz w:val="20"/>
          <w:szCs w:val="20"/>
          <w:rtl w:val="0"/>
        </w:rPr>
        <w:t xml:space="preserve">, the model predicts SUCCESS when ground truth is FAILURE. In Condition A, GPT-4.1 produces 228 false positives versus 44 false negatives; GPT-4.1 Mini produces 287 FPs versus 42 FNs. Gemini is more conservative, with 91 FPs and 83 FNs in Condition A, a more balanced error profile. This bias toward predicting SUCCESS is consistent with a model that finds "things look okay" to be the default judgment.</w:t>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Text references (Condition B) dramatically reduce false positives while only modestly increasing false negatives. For GPT-4.1 Mini, false positives drop from 287 to 101 (−65%) while false negatives increase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Visual references (Condition C) paradoxically </w:t>
      </w:r>
      <w:r>
        <w:rPr>
          <w:rFonts w:ascii="Times New Roman" w:cs="Times New Roman" w:eastAsia="Times New Roman" w:hAnsi="Times New Roman"/>
          <w:i w:val="1"/>
          <w:iCs w:val="1"/>
          <w:sz w:val="20"/>
          <w:szCs w:val="20"/>
          <w:rtl w:val="0"/>
        </w:rPr>
        <w:t xml:space="preserve">increase</w:t>
      </w:r>
      <w:r>
        <w:rPr>
          <w:rFonts w:ascii="Times New Roman" w:cs="Times New Roman" w:eastAsia="Times New Roman" w:hAnsi="Times New Roman"/>
          <w:sz w:val="20"/>
          <w:szCs w:val="20"/>
          <w:rtl w:val="0"/>
        </w:rPr>
        <w:t xml:space="preserve"> false positives for GPT models. GPT-4.1 goes from 228 FPs in Condition A to 60 FPs in Condition C, but on a much smaller instance set (146 vs 908), this represents a FP rate of 41.1% versus 25.1%. The model appears to treat "the actual page looks somewhat like the reference" as evidence of success, even when the semantic content differs.</w:t>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
        <w:t>Data availability. Code and data are available at https://github.com/shravaniparsi/agentic-ui-test.</w:t>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Gemini 2.5 Flash, despite having the strongest baseline accuracy (80.9% in Condition A), drops to 65.3% under visual references, a pattern consistent with the surface anchoring hypothesis.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Invest in text reference generation, not screenshot collection.</w:t>
      </w:r>
      <w:r>
        <w:rPr>
          <w:rFonts w:ascii="Times New Roman" w:cs="Times New Roman" w:eastAsia="Times New Roman" w:hAnsi="Times New Roman"/>
          <w:sz w:val="20"/>
          <w:szCs w:val="20"/>
          <w:rtl w:val="0"/>
        </w:rPr>
        <w:t xml:space="preserve"> Text descriptions of expected outcomes can be generated automatically from task specifications and are the single most effective investment for improving verification quality.</w:t>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w:t>
      </w:r>
      <w:r>
        <w:rPr>
          <w:rFonts w:ascii="Times New Roman" w:cs="Times New Roman" w:eastAsia="Times New Roman" w:hAnsi="Times New Roman"/>
          <w:sz w:val="20"/>
          <w:szCs w:val="20"/>
          <w:rtl w:val="0"/>
        </w:rPr>
        <w:t xml:space="preserve"> Visual references should be tested per-model before deployment; for GPT models, they actively harm performance.</w:t>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Focus verification effort on deceptive failures.</w:t>
      </w:r>
      <w:r>
        <w:rPr>
          <w:rFonts w:ascii="Times New Roman" w:cs="Times New Roman" w:eastAsia="Times New Roman" w:hAnsi="Times New Roman"/>
          <w:sz w:val="20"/>
          <w:szCs w:val="20"/>
          <w:rtl w:val="0"/>
        </w:rPr>
        <w:t xml:space="preserve"> The instances where verification is hardest are exactly the instances where text references help most, a fortunate alignment that maximizes the practical value of this approach.</w:t>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2.5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
        <w:t>Limited generalizability. Our evaluation is confined to VisualWebArena, a controlled benchmark with known limitations. The failure taxonomy and verification dynamics observed here may not directly transfer to production web environments, where pages are more complex, dynamic, and adversarial. VWA tasks are relatively simple (single-page, single-goal); complex multi-step workflows (e.g., multi-page checkout, form filling with validation) may exhibit different failure modes and verification challenges. Additionally, our failure taxonomy (obvious/deceptive/partial) is VWA-specific and may require refinement for other benchmarks. Future work should evaluate on real-world tasks and diverse benchmarks to assess generalizability.</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Construct validity.</w:t>
      </w:r>
      <w:r>
        <w:rPr>
          <w:rFonts w:ascii="Times New Roman" w:cs="Times New Roman" w:eastAsia="Times New Roman" w:hAnsi="Times New Roman"/>
          <w:sz w:val="20"/>
          <w:szCs w:val="20"/>
          <w:rtl w:val="0"/>
        </w:rPr>
        <w:t xml:space="preserve"> Failure-type categorization is partly subjective; we provide a labeling protocol description and representative examples (Appendix E). To support a defensible inter-annotator agreement (IAA) figure, we ship </w:t>
      </w:r>
      <w:r>
        <w:rPr>
          <w:rFonts w:ascii="Times New Roman" w:cs="Times New Roman" w:eastAsia="Times New Roman" w:hAnsi="Times New Roman"/>
          <w:color w:val="188038"/>
          <w:sz w:val="20"/>
          <w:szCs w:val="20"/>
          <w:rtl w:val="0"/>
        </w:rPr>
        <w:t xml:space="preserve">scripts/run_iaa_labels.py</w:t>
      </w:r>
      <w:r>
        <w:rPr>
          <w:rFonts w:ascii="Times New Roman" w:cs="Times New Roman" w:eastAsia="Times New Roman" w:hAnsi="Times New Roman"/>
          <w:sz w:val="20"/>
          <w:szCs w:val="20"/>
          <w:rtl w:val="0"/>
        </w:rPr>
        <w:t xml:space="preserve">, which samples a 100-instance double-labeling subset and computes Cohen's kappa [27] with the Landis and Koch interpretation [28], and we leave a multi-annotator agreement study to future work. The failure-type taxonomy is currently single-annotator,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Statistical validity.</w:t>
      </w:r>
      <w:r>
        <w:rPr>
          <w:rFonts w:ascii="Times New Roman" w:cs="Times New Roman" w:eastAsia="Times New Roman" w:hAnsi="Times New Roman"/>
          <w:sz w:val="20"/>
          <w:szCs w:val="20"/>
          <w:rtl w:val="0"/>
        </w:rPr>
        <w:t xml:space="preserve"> We use paired McNemar tests on common instances and percentile bootstrap confidence intervals (2,000 resamples). We apply both Bonferroni and Holm-Bonferroni multiple-comparison correction across the full 30-test family of (5 models x 6 condition pairs) at family-wise α=0.05; 12 of 30 tests, including all five A→B headline tests, are significant under both corrections (Appendix I, </w:t>
      </w:r>
      <w:r>
        <w:rPr>
          <w:rFonts w:ascii="Times New Roman" w:cs="Times New Roman" w:eastAsia="Times New Roman" w:hAnsi="Times New Roman"/>
          <w:color w:val="188038"/>
          <w:sz w:val="20"/>
          <w:szCs w:val="20"/>
          <w:rtl w:val="0"/>
        </w:rPr>
        <w:t xml:space="preserve">results/revision_bonferroni.csv</w:t>
      </w:r>
      <w:r>
        <w:rPr>
          <w:rFonts w:ascii="Times New Roman" w:cs="Times New Roman" w:eastAsia="Times New Roman" w:hAnsi="Times New Roman"/>
          <w:sz w:val="20"/>
          <w:szCs w:val="20"/>
          <w:rtl w:val="0"/>
        </w:rPr>
        <w:t xml:space="preserve">). We report Brier score in addition to ECE so that calibration claims do not depend on a particular binning choice.</w:t>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Automated post-hoc 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have presented a controlled study of reference-augmented LMM post-hoc verification for web agents. Across 909 VisualWebArena trajectories, four reference conditions, and five frontier closed-API models from three families, three findings hold consistently in this setting: </w:t>
      </w:r>
      <w:r>
        <w:rPr>
          <w:rFonts w:ascii="Times New Roman" w:cs="Times New Roman" w:eastAsia="Times New Roman" w:hAnsi="Times New Roman"/>
          <w:b w:val="1"/>
          <w:bCs w:val="1"/>
          <w:sz w:val="20"/>
          <w:szCs w:val="20"/>
          <w:rtl w:val="0"/>
        </w:rPr>
        <w:t xml:space="preserve">text references significantly and uniformly improve verification, visual references degrade most models on the visual-reference subset, and adding a reference screenshot on top of a text reference does not help.</w:t>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and from 80.9% to 86.1% (Gemini), with the largest gains on the hardest, "deceptive", failure cases.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 xml:space="preserve">CITATION.cff</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the reference. Minor visual</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differences (layout shifts, font rendering, timestamps) are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acceptable. Focus on whether the SEMANTIC CONTENT matches, the</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right page, the right data, the right state.</w:t>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BOTH the text description of the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 outcome AND the reference screenshot. Minor visual differences</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(layout shifts, font rendering, timestamps) are acceptable. Focus on</w:t>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SEMANTIC CONTENT matches.</w:t>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129–147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138–147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5052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505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.865 (403/466)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.850 (198/233)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is a case where even the text reference fails to correct the model. The MCAT book page shows a cover image that </w:t>
      </w:r>
      <w:r>
        <w:rPr>
          <w:rFonts w:ascii="Times New Roman" w:cs="Times New Roman" w:eastAsia="Times New Roman" w:hAnsi="Times New Roman"/>
          <w:i w:val="1"/>
          <w:iCs w:val="1"/>
          <w:sz w:val="20"/>
          <w:szCs w:val="20"/>
          <w:rtl w:val="0"/>
        </w:rPr>
        <w:t xml:space="preserve">does</w:t>
      </w:r>
      <w:r>
        <w:rPr>
          <w:rFonts w:ascii="Times New Roman" w:cs="Times New Roman" w:eastAsia="Times New Roman" w:hAnsi="Times New Roman"/>
          <w:sz w:val="20"/>
          <w:szCs w:val="20"/>
          <w:rtl w:val="0"/>
        </w:rPr>
        <w:t xml:space="preserve"> include "2020-2021" text, but it is the wrong listing (wrong URL, wrong specific edition). The model fixates on the visible cover image rather than verifying the page identity. This illustrates the limits of post-hoc verification: when the visual evidence genuinely matches the description, even reference-augmented verification fails.</w:t>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all models correctly identify the wrong product was added. GPT-4.1 reports: </w:t>
      </w:r>
      <w:r>
        <w:rPr>
          <w:rFonts w:ascii="Times New Roman" w:cs="Times New Roman" w:eastAsia="Times New Roman" w:hAnsi="Times New Roman"/>
          <w:i w:val="1"/>
          <w:iCs w:val="1"/>
          <w:sz w:val="20"/>
          <w:szCs w:val="20"/>
          <w:rtl w:val="0"/>
        </w:rPr>
        <w:t xml:space="preserve">"The wish list contains the wrong product."</w:t>
      </w:r>
      <w:r>
        <w:rPr>
          <w:rFonts w:ascii="Times New Roman" w:cs="Times New Roman" w:eastAsia="Times New Roman" w:hAnsi="Times New Roman"/>
          <w:sz w:val="20"/>
          <w:szCs w:val="20"/>
          <w:rtl w:val="0"/>
        </w:rPr>
        <w:t xml:space="preserve"> This is the prototypical deceptive failure: correct action type (added to wish list), correct category (office chair), but wrong specific item.</w:t>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1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1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w:t>
      </w:r>
      <w:r>
        <w:rPr>
          <w:rFonts w:ascii="Times New Roman" w:cs="Times New Roman" w:eastAsia="Times New Roman" w:hAnsi="Times New Roman"/>
          <w:color w:val="188038"/>
          <w:sz w:val="20"/>
          <w:szCs w:val="20"/>
          <w:rtl w:val="0"/>
        </w:rPr>
        <w:t xml:space="preserve">scripts/generate_text_ref_variants.py</w:t>
      </w:r>
      <w:r>
        <w:rPr>
          <w:rFonts w:ascii="Times New Roman" w:cs="Times New Roman" w:eastAsia="Times New Roman" w:hAnsi="Times New Roman"/>
          <w:sz w:val="20"/>
          <w:szCs w:val="20"/>
          <w:rtl w:val="0"/>
        </w:rPr>
        <w:t xml:space="preserve"> (no API calls; deterministic). The ablation is run by </w:t>
      </w:r>
      <w:r>
        <w:rPr>
          <w:rFonts w:ascii="Times New Roman" w:cs="Times New Roman" w:eastAsia="Times New Roman" w:hAnsi="Times New Roman"/>
          <w:color w:val="188038"/>
          <w:sz w:val="20"/>
          <w:szCs w:val="20"/>
          <w:rtl w:val="0"/>
        </w:rPr>
        <w:t xml:space="preserve">scripts/run_text_ref_ablation.py</w:t>
      </w:r>
      <w:r>
        <w:rPr>
          <w:rFonts w:ascii="Times New Roman" w:cs="Times New Roman" w:eastAsia="Times New Roman" w:hAnsi="Times New Roman"/>
          <w:sz w:val="20"/>
          <w:szCs w:val="20"/>
          <w:rtl w:val="0"/>
        </w:rPr>
        <w:t xml:space="preserve"> over a fixed-seed subset of instances and a configurable subset of models, with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available for cost preview. The default conservative configuration evaluates 100 instances on </w:t>
      </w:r>
      <w:r>
        <w:rPr>
          <w:rFonts w:ascii="Times New Roman" w:cs="Times New Roman" w:eastAsia="Times New Roman" w:hAnsi="Times New Roman"/>
          <w:color w:val="188038"/>
          <w:sz w:val="20"/>
          <w:szCs w:val="20"/>
          <w:rtl w:val="0"/>
        </w:rPr>
        <w:t xml:space="preserve">gpt-4.1-mini</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claude-sonnet-4</w:t>
      </w:r>
      <w:r>
        <w:rPr>
          <w:rFonts w:ascii="Times New Roman" w:cs="Times New Roman" w:eastAsia="Times New Roman" w:hAnsi="Times New Roman"/>
          <w:sz w:val="20"/>
          <w:szCs w:val="20"/>
          <w:rtl w:val="0"/>
        </w:rPr>
        <w:t xml:space="preserve"> across the three variants, and is summarized by </w:t>
      </w:r>
      <w:r>
        <w:rPr>
          <w:rFonts w:ascii="Times New Roman" w:cs="Times New Roman" w:eastAsia="Times New Roman" w:hAnsi="Times New Roman"/>
          <w:color w:val="188038"/>
          <w:sz w:val="20"/>
          <w:szCs w:val="20"/>
          <w:rtl w:val="0"/>
        </w:rPr>
        <w:t xml:space="preserve">scripts/analyze_text_ref_ablation.py</w:t>
      </w:r>
      <w:r>
        <w:rPr>
          <w:rFonts w:ascii="Times New Roman" w:cs="Times New Roman" w:eastAsia="Times New Roman" w:hAnsi="Times New Roman"/>
          <w:sz w:val="20"/>
          <w:szCs w:val="20"/>
          <w:rtl w:val="0"/>
        </w:rPr>
        <w:t xml:space="preserve"> into </w:t>
      </w:r>
      <w:r>
        <w:rPr>
          <w:rFonts w:ascii="Times New Roman" w:cs="Times New Roman" w:eastAsia="Times New Roman" w:hAnsi="Times New Roman"/>
          <w:color w:val="188038"/>
          <w:sz w:val="20"/>
          <w:szCs w:val="20"/>
          <w:rtl w:val="0"/>
        </w:rPr>
        <w:t xml:space="preserve">results/textref_ablation_summary.csv</w:t>
      </w:r>
      <w:r>
        <w:rPr>
          <w:rFonts w:ascii="Times New Roman" w:cs="Times New Roman" w:eastAsia="Times New Roman" w:hAnsi="Times New Roman"/>
          <w:sz w:val="20"/>
          <w:szCs w:val="20"/>
          <w:rtl w:val="0"/>
        </w:rPr>
        <w:t xml:space="preserve">. The variant-generation, ablation, and analysis scripts are released so that this reference-quality sensitivity check can be reproduced; measuring the resulting degradation across the short, noisy, and wrong variants is left to future work.</w:t>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Screenshots.</w:t>
      </w:r>
      <w:r>
        <w:rPr>
          <w:rFonts w:ascii="Times New Roman" w:cs="Times New Roman" w:eastAsia="Times New Roman" w:hAnsi="Times New Roman"/>
          <w:sz w:val="20"/>
          <w:szCs w:val="20"/>
          <w:rtl w:val="0"/>
        </w:rPr>
        <w:t xml:space="preserve"> Final-state screenshots from VWA agent trajectories are 1280x2048 PNG (portrait, 2:1 aspect ratio). They are sent to each provider </w:t>
      </w:r>
      <w:r>
        <w:rPr>
          <w:rFonts w:ascii="Times New Roman" w:cs="Times New Roman" w:eastAsia="Times New Roman" w:hAnsi="Times New Roman"/>
          <w:b w:val="1"/>
          <w:bCs w:val="1"/>
          <w:sz w:val="20"/>
          <w:szCs w:val="20"/>
          <w:rtl w:val="0"/>
        </w:rPr>
        <w:t xml:space="preserve">without any resizing or compression</w:t>
      </w:r>
      <w:r>
        <w:rPr>
          <w:rFonts w:ascii="Times New Roman" w:cs="Times New Roman" w:eastAsia="Times New Roman" w:hAnsi="Times New Roman"/>
          <w:sz w:val="20"/>
          <w:szCs w:val="20"/>
          <w:rtl w:val="0"/>
        </w:rPr>
        <w:t xml:space="preserve">,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w:t>
      </w:r>
      <w:r>
        <w:rPr>
          <w:rFonts w:ascii="Times New Roman" w:cs="Times New Roman" w:eastAsia="Times New Roman" w:hAnsi="Times New Roman"/>
          <w:sz w:val="20"/>
          <w:szCs w:val="20"/>
          <w:rtl w:val="0"/>
        </w:rPr>
        <w:t xml:space="preserve"> of the full study is reported in Section 5.6 ($32.85 across 11,322 calls). Reproducing the entire study costs less than the cost of a single human evaluator-day at typical contractor rates, this is the practical sense in which the recommended intervention is "low cost."</w:t>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w:t>
      </w:r>
      <w:r>
        <w:rPr>
          <w:rFonts w:ascii="Times New Roman" w:cs="Times New Roman" w:eastAsia="Times New Roman" w:hAnsi="Times New Roman"/>
          <w:color w:val="188038"/>
          <w:sz w:val="20"/>
          <w:szCs w:val="20"/>
          <w:rtl w:val="0"/>
        </w:rPr>
        <w:t xml:space="preserve">results/revision_bonferroni.csv</w:t>
      </w:r>
      <w:r>
        <w:rPr>
          <w:rFonts w:ascii="Cardo" w:cs="Cardo" w:eastAsia="Cardo" w:hAnsi="Cardo"/>
          <w:sz w:val="20"/>
          <w:szCs w:val="20"/>
          <w:rtl w:val="0"/>
        </w:rPr>
        <w:t xml:space="preserve">. Bonferroni-significant pairs at α'=0.05/30=0.00167 (also the same set under Holm-Bonferroni step-down) are: GPT-4.1 Nano A→B, A→C, B→C; GPT-4.1 Mini A→B; GPT-4.1 A→B, A→C, B→C, B→D; Claude Sonnet 4 A→B; Gemini 2.5 Flash A→B, B→C, B→D. This includes all five A→B comparisons (the headline effect) and confirms that the visual-reference-degrades-most-models pattern (A→C, B→C) survives multiple-comparison correction for the GPT-4.1 family and Gemini, while Claude is robust (A→C and A→D not significant).</w:t>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