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2E86AB"/>
          <w:sz w:val="44"/>
          <w:szCs w:val="44"/>
        </w:rPr>
        <w:t xml:space="preserve">Advanced Data Analysis &amp; Visualization</w:t>
      </w:r>
    </w:p>
    <w:p>
      <w:pPr>
        <w:spacing w:after="600"/>
        <w:jc w:val="center"/>
      </w:pPr>
      <w:r>
        <w:rPr>
          <w:b/>
          <w:bCs/>
          <w:color w:val="2E86AB"/>
          <w:sz w:val="44"/>
          <w:szCs w:val="44"/>
        </w:rPr>
        <w:t xml:space="preserve">in Two-Wheeler Last-Mile Logistics</w:t>
      </w:r>
    </w:p>
    <w:p>
      <w:pPr>
        <w:spacing w:after="200"/>
        <w:jc w:val="center"/>
      </w:pPr>
      <w:r>
        <w:rPr>
          <w:i/>
          <w:iCs/>
          <w:sz w:val="26"/>
          <w:szCs w:val="26"/>
        </w:rPr>
        <w:t xml:space="preserve">Week 3 Task — Data Science &amp; Analytics Internship</w:t>
      </w:r>
    </w:p>
    <w:p>
      <w:pPr>
        <w:spacing w:after="1200"/>
        <w:jc w:val="center"/>
      </w:pPr>
      <w:r>
        <w:rPr>
          <w:sz w:val="24"/>
          <w:szCs w:val="24"/>
        </w:rPr>
        <w:t xml:space="preserve">Domain Focus: Bike / Scooter / E-Bike Delivery Fleet Operations</w:t>
      </w:r>
    </w:p>
    <w:p>
      <w:pPr>
        <w:spacing w:after="120"/>
        <w:jc w:val="center"/>
      </w:pPr>
      <w:r>
        <w:rPr>
          <w:b/>
          <w:bCs/>
          <w:sz w:val="24"/>
          <w:szCs w:val="24"/>
        </w:rPr>
        <w:t xml:space="preserve">Prepared by: Shra</w:t>
      </w:r>
    </w:p>
    <w:p>
      <w:pPr>
        <w:spacing w:after="120"/>
        <w:jc w:val="center"/>
      </w:pPr>
      <w:r>
        <w:rPr>
          <w:sz w:val="22"/>
          <w:szCs w:val="22"/>
        </w:rPr>
        <w:t xml:space="preserve">Tools Used: Python (Pandas, NumPy, Matplotlib, Seaborn)</w:t>
      </w:r>
    </w:p>
    <w:p>
      <w:pPr>
        <w:jc w:val="center"/>
      </w:pPr>
      <w:r>
        <w:rPr>
          <w:sz w:val="22"/>
          <w:szCs w:val="22"/>
        </w:rPr>
        <w:t xml:space="preserve">August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1. Objective</w:t>
      </w:r>
    </w:p>
    <w:p>
      <w:pPr>
        <w:spacing w:after="160"/>
        <w:jc w:val="both"/>
      </w:pPr>
      <w:r>
        <w:t xml:space="preserve">This report presents an advanced exploratory data analysis (EDA) and visualization study of a two-wheeler last-mile delivery logistics operation. The goal is to analyze delivery performance, cost drivers, and operational bottlenecks using Python, and to translate the findings into actionable recommendations for improving delivery efficiency across a fleet of scooters, motorbikes, and e-bikes.</w:t>
      </w:r>
    </w:p>
    <w:p>
      <w:pPr>
        <w:spacing w:after="160"/>
        <w:jc w:val="both"/>
      </w:pPr>
      <w:r>
        <w:t xml:space="preserve">Two-wheelers are the backbone of last-mile delivery in dense urban environments (food, grocery, and parcel delivery) because they navigate traffic and narrow lanes far faster than four-wheeled vehicles. This makes performance analysis of two-wheeler fleets especially valuable for operational decision-making.</w:t>
      </w:r>
    </w:p>
    <w:p>
      <w:pPr>
        <w:pStyle w:val="Heading1"/>
        <w:spacing w:after="160" w:before="320"/>
      </w:pPr>
      <w:r>
        <w:t xml:space="preserve">2. Data Simulation &amp; Dataset Structure</w:t>
      </w:r>
    </w:p>
    <w:p>
      <w:pPr>
        <w:spacing w:after="160"/>
        <w:jc w:val="both"/>
      </w:pPr>
      <w:r>
        <w:t xml:space="preserve">Since a live operational dataset was not available, a realistic hypothetical dataset of 2,000 delivery records was simulated in Python using NumPy's statistical distributions, with deliberately engineered relationships between variables (e.g., higher traffic and rain increasing delivery time and delay probability) so the dataset reflects genuine logistics behaviour rather than random noise.</w:t>
      </w:r>
    </w:p>
    <w:p>
      <w:pPr>
        <w:pStyle w:val="Heading2"/>
        <w:spacing w:after="120" w:before="240"/>
      </w:pPr>
      <w:r>
        <w:t xml:space="preserve">2.1 Key Variables</w:t>
      </w:r>
    </w:p>
    <w:p>
      <w:pPr>
        <w:pStyle w:val="ListParagraph"/>
        <w:numPr>
          <w:ilvl w:val="0"/>
          <w:numId w:val="1"/>
        </w:numPr>
        <w:spacing w:after="80"/>
      </w:pPr>
      <w:r>
        <w:t xml:space="preserve">delivery_id, date, rider_id — record identifiers</w:t>
      </w:r>
    </w:p>
    <w:p>
      <w:pPr>
        <w:pStyle w:val="ListParagraph"/>
        <w:numPr>
          <w:ilvl w:val="0"/>
          <w:numId w:val="1"/>
        </w:numPr>
        <w:spacing w:after="80"/>
      </w:pPr>
      <w:r>
        <w:t xml:space="preserve">vehicle_type — Scooter / Motorbike / E-Bike</w:t>
      </w:r>
    </w:p>
    <w:p>
      <w:pPr>
        <w:pStyle w:val="ListParagraph"/>
        <w:numPr>
          <w:ilvl w:val="0"/>
          <w:numId w:val="1"/>
        </w:numPr>
        <w:spacing w:after="80"/>
      </w:pPr>
      <w:r>
        <w:t xml:space="preserve">zone — one of 5 delivery zones across the service area</w:t>
      </w:r>
    </w:p>
    <w:p>
      <w:pPr>
        <w:pStyle w:val="ListParagraph"/>
        <w:numPr>
          <w:ilvl w:val="0"/>
          <w:numId w:val="1"/>
        </w:numPr>
        <w:spacing w:after="80"/>
      </w:pPr>
      <w:r>
        <w:t xml:space="preserve">distance_km, shipment_weight_kg — trip characteristics</w:t>
      </w:r>
    </w:p>
    <w:p>
      <w:pPr>
        <w:pStyle w:val="ListParagraph"/>
        <w:numPr>
          <w:ilvl w:val="0"/>
          <w:numId w:val="1"/>
        </w:numPr>
        <w:spacing w:after="80"/>
      </w:pPr>
      <w:r>
        <w:t xml:space="preserve">traffic_condition, weather, time_of_day — environmental context</w:t>
      </w:r>
    </w:p>
    <w:p>
      <w:pPr>
        <w:pStyle w:val="ListParagraph"/>
        <w:numPr>
          <w:ilvl w:val="0"/>
          <w:numId w:val="1"/>
        </w:numPr>
        <w:spacing w:after="80"/>
      </w:pPr>
      <w:r>
        <w:t xml:space="preserve">delivery_time_min, sla_minutes, delayed — performance &amp; SLA compliance</w:t>
      </w:r>
    </w:p>
    <w:p>
      <w:pPr>
        <w:pStyle w:val="ListParagraph"/>
        <w:numPr>
          <w:ilvl w:val="0"/>
          <w:numId w:val="1"/>
        </w:numPr>
        <w:spacing w:after="80"/>
      </w:pPr>
      <w:r>
        <w:t xml:space="preserve">fuel_cost_inr, delivery_cost_inr — cost metrics (INR)</w:t>
      </w:r>
    </w:p>
    <w:p>
      <w:pPr>
        <w:pStyle w:val="ListParagraph"/>
        <w:numPr>
          <w:ilvl w:val="0"/>
          <w:numId w:val="1"/>
        </w:numPr>
        <w:spacing w:after="80"/>
      </w:pPr>
      <w:r>
        <w:t xml:space="preserve">customer_rating — 1-5 satisfaction score</w:t>
      </w:r>
    </w:p>
    <w:p>
      <w:pPr>
        <w:pStyle w:val="Heading2"/>
        <w:spacing w:after="120" w:before="240"/>
      </w:pPr>
      <w:r>
        <w:t xml:space="preserve">2.2 Data Generation Logic (Python excerpt)</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 Delivery time depends on distance, traffic, weather &amp; vehicle type</w:t>
      </w:r>
      <w:r>
        <w:rPr>
          <w:rFonts w:ascii="Consolas" w:cs="Consolas" w:eastAsia="Consolas" w:hAnsi="Consolas"/>
          <w:sz w:val="18"/>
          <w:szCs w:val="18"/>
        </w:rPr>
        <w:br/>
        <w:t xml:space="preserve">base_speed_kmph = 26</w:t>
      </w:r>
      <w:r>
        <w:rPr>
          <w:rFonts w:ascii="Consolas" w:cs="Consolas" w:eastAsia="Consolas" w:hAnsi="Consolas"/>
          <w:sz w:val="18"/>
          <w:szCs w:val="18"/>
        </w:rPr>
        <w:br/>
        <w:t xml:space="preserve">speed = base_speed_kmph / (traffic_penalty[traffic] *</w:t>
      </w:r>
      <w:r>
        <w:rPr>
          <w:rFonts w:ascii="Consolas" w:cs="Consolas" w:eastAsia="Consolas" w:hAnsi="Consolas"/>
          <w:sz w:val="18"/>
          <w:szCs w:val="18"/>
        </w:rPr>
        <w:br/>
        <w:t xml:space="preserve">                            weather_penalty[weather] *</w:t>
      </w:r>
      <w:r>
        <w:rPr>
          <w:rFonts w:ascii="Consolas" w:cs="Consolas" w:eastAsia="Consolas" w:hAnsi="Consolas"/>
          <w:sz w:val="18"/>
          <w:szCs w:val="18"/>
        </w:rPr>
        <w:br/>
        <w:t xml:space="preserve">                            vehicle_speed_factor[vehicle_type])</w:t>
      </w:r>
      <w:r>
        <w:rPr>
          <w:rFonts w:ascii="Consolas" w:cs="Consolas" w:eastAsia="Consolas" w:hAnsi="Consolas"/>
          <w:sz w:val="18"/>
          <w:szCs w:val="18"/>
        </w:rPr>
        <w:br/>
        <w:t xml:space="preserve">travel_time = (distance_km / speed) * 60</w:t>
      </w:r>
      <w:r>
        <w:rPr>
          <w:rFonts w:ascii="Consolas" w:cs="Consolas" w:eastAsia="Consolas" w:hAnsi="Consolas"/>
          <w:sz w:val="18"/>
          <w:szCs w:val="18"/>
        </w:rPr>
        <w:br/>
        <w:t xml:space="preserve">delivery_time_min = travel_time + handling_time + noise</w:t>
      </w:r>
      <w:r>
        <w:rPr>
          <w:rFonts w:ascii="Consolas" w:cs="Consolas" w:eastAsia="Consolas" w:hAnsi="Consolas"/>
          <w:sz w:val="18"/>
          <w:szCs w:val="18"/>
        </w:rPr>
        <w:br/>
        <w:t xml:space="preserve"/>
      </w:r>
      <w:r>
        <w:rPr>
          <w:rFonts w:ascii="Consolas" w:cs="Consolas" w:eastAsia="Consolas" w:hAnsi="Consolas"/>
          <w:sz w:val="18"/>
          <w:szCs w:val="18"/>
        </w:rPr>
        <w:br/>
        <w:t xml:space="preserve"># Delay flag vs zone-specific SLA</w:t>
      </w:r>
      <w:r>
        <w:rPr>
          <w:rFonts w:ascii="Consolas" w:cs="Consolas" w:eastAsia="Consolas" w:hAnsi="Consolas"/>
          <w:sz w:val="18"/>
          <w:szCs w:val="18"/>
        </w:rPr>
        <w:br/>
        <w:t xml:space="preserve">delayed = (delivery_time_min &gt; sla_minutes).astype(int)</w:t>
      </w:r>
    </w:p>
    <w:p>
      <w:pPr>
        <w:pStyle w:val="Heading1"/>
        <w:spacing w:after="160" w:before="320"/>
      </w:pPr>
      <w:r>
        <w:t xml:space="preserve">3. Exploratory Data Analysis (EDA)</w:t>
      </w:r>
    </w:p>
    <w:p>
      <w:pPr>
        <w:pStyle w:val="Heading2"/>
        <w:spacing w:after="120" w:before="240"/>
      </w:pPr>
      <w:r>
        <w:t xml:space="preserve">3.1 Central Tendency &amp; Dispersion</w:t>
      </w:r>
    </w:p>
    <w:p>
      <w:pPr>
        <w:spacing w:after="160"/>
        <w:jc w:val="both"/>
      </w:pPr>
      <w:r>
        <w:t xml:space="preserve">Summary statistics for the core numeric metrics are shown below. Delivery time shows a right-skewed distribution (skew = 1.66), meaning most deliveries are completed quickly but a long tail of delayed deliveries pulls the mean above the median.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1550"/>
        <w:gridCol w:w="1550"/>
        <w:gridCol w:w="1550"/>
        <w:gridCol w:w="1550"/>
        <w:gridCol w:w="1550"/>
      </w:tblGrid>
      <w:tr>
        <w:tc>
          <w:tcPr>
            <w:tcW w:type="dxa" w:w="2300"/>
            <w:shd w:fill="2E86AB" w:val="clear"/>
            <w:vAlign w:val="center"/>
          </w:tcPr>
          <w:p>
            <w:pPr>
              <w:jc w:val="center"/>
            </w:pPr>
            <w:r>
              <w:rPr>
                <w:b/>
                <w:bCs/>
                <w:color w:val="FFFFFF"/>
                <w:sz w:val="20"/>
                <w:szCs w:val="20"/>
              </w:rPr>
              <w:t xml:space="preserve">Metric</w:t>
            </w:r>
          </w:p>
        </w:tc>
        <w:tc>
          <w:tcPr>
            <w:tcW w:type="dxa" w:w="1550"/>
            <w:shd w:fill="2E86AB" w:val="clear"/>
            <w:vAlign w:val="center"/>
          </w:tcPr>
          <w:p>
            <w:pPr>
              <w:jc w:val="center"/>
            </w:pPr>
            <w:r>
              <w:rPr>
                <w:b/>
                <w:bCs/>
                <w:color w:val="FFFFFF"/>
                <w:sz w:val="20"/>
                <w:szCs w:val="20"/>
              </w:rPr>
              <w:t xml:space="preserve">Mean</w:t>
            </w:r>
          </w:p>
        </w:tc>
        <w:tc>
          <w:tcPr>
            <w:tcW w:type="dxa" w:w="1550"/>
            <w:shd w:fill="2E86AB" w:val="clear"/>
            <w:vAlign w:val="center"/>
          </w:tcPr>
          <w:p>
            <w:pPr>
              <w:jc w:val="center"/>
            </w:pPr>
            <w:r>
              <w:rPr>
                <w:b/>
                <w:bCs/>
                <w:color w:val="FFFFFF"/>
                <w:sz w:val="20"/>
                <w:szCs w:val="20"/>
              </w:rPr>
              <w:t xml:space="preserve">Median</w:t>
            </w:r>
          </w:p>
        </w:tc>
        <w:tc>
          <w:tcPr>
            <w:tcW w:type="dxa" w:w="1550"/>
            <w:shd w:fill="2E86AB" w:val="clear"/>
            <w:vAlign w:val="center"/>
          </w:tcPr>
          <w:p>
            <w:pPr>
              <w:jc w:val="center"/>
            </w:pPr>
            <w:r>
              <w:rPr>
                <w:b/>
                <w:bCs/>
                <w:color w:val="FFFFFF"/>
                <w:sz w:val="20"/>
                <w:szCs w:val="20"/>
              </w:rPr>
              <w:t xml:space="preserve">Std Dev</w:t>
            </w:r>
          </w:p>
        </w:tc>
        <w:tc>
          <w:tcPr>
            <w:tcW w:type="dxa" w:w="1550"/>
            <w:shd w:fill="2E86AB" w:val="clear"/>
            <w:vAlign w:val="center"/>
          </w:tcPr>
          <w:p>
            <w:pPr>
              <w:jc w:val="center"/>
            </w:pPr>
            <w:r>
              <w:rPr>
                <w:b/>
                <w:bCs/>
                <w:color w:val="FFFFFF"/>
                <w:sz w:val="20"/>
                <w:szCs w:val="20"/>
              </w:rPr>
              <w:t xml:space="preserve">Min</w:t>
            </w:r>
          </w:p>
        </w:tc>
        <w:tc>
          <w:tcPr>
            <w:tcW w:type="dxa" w:w="1550"/>
            <w:shd w:fill="2E86AB" w:val="clear"/>
            <w:vAlign w:val="center"/>
          </w:tcPr>
          <w:p>
            <w:pPr>
              <w:jc w:val="center"/>
            </w:pPr>
            <w:r>
              <w:rPr>
                <w:b/>
                <w:bCs/>
                <w:color w:val="FFFFFF"/>
                <w:sz w:val="20"/>
                <w:szCs w:val="20"/>
              </w:rPr>
              <w:t xml:space="preserve">Max</w:t>
            </w:r>
          </w:p>
        </w:tc>
      </w:tr>
      <w:tr>
        <w:tc>
          <w:tcPr>
            <w:tcW w:type="dxa" w:w="2300"/>
            <w:vAlign w:val="center"/>
          </w:tcPr>
          <w:p>
            <w:pPr>
              <w:jc w:val="center"/>
            </w:pPr>
            <w:r>
              <w:rPr>
                <w:b w:val="false"/>
                <w:bCs w:val="false"/>
                <w:color w:val="000000"/>
                <w:sz w:val="20"/>
                <w:szCs w:val="20"/>
              </w:rPr>
              <w:t xml:space="preserve">Distance (km)</w:t>
            </w:r>
          </w:p>
        </w:tc>
        <w:tc>
          <w:tcPr>
            <w:tcW w:type="dxa" w:w="1550"/>
            <w:vAlign w:val="center"/>
          </w:tcPr>
          <w:p>
            <w:pPr>
              <w:jc w:val="center"/>
            </w:pPr>
            <w:r>
              <w:rPr>
                <w:b w:val="false"/>
                <w:bCs w:val="false"/>
                <w:color w:val="000000"/>
                <w:sz w:val="20"/>
                <w:szCs w:val="20"/>
              </w:rPr>
              <w:t xml:space="preserve">4.25</w:t>
            </w:r>
          </w:p>
        </w:tc>
        <w:tc>
          <w:tcPr>
            <w:tcW w:type="dxa" w:w="1550"/>
            <w:vAlign w:val="center"/>
          </w:tcPr>
          <w:p>
            <w:pPr>
              <w:jc w:val="center"/>
            </w:pPr>
            <w:r>
              <w:rPr>
                <w:b w:val="false"/>
                <w:bCs w:val="false"/>
                <w:color w:val="000000"/>
                <w:sz w:val="20"/>
                <w:szCs w:val="20"/>
              </w:rPr>
              <w:t xml:space="preserve">3.65</w:t>
            </w:r>
          </w:p>
        </w:tc>
        <w:tc>
          <w:tcPr>
            <w:tcW w:type="dxa" w:w="1550"/>
            <w:vAlign w:val="center"/>
          </w:tcPr>
          <w:p>
            <w:pPr>
              <w:jc w:val="center"/>
            </w:pPr>
            <w:r>
              <w:rPr>
                <w:b w:val="false"/>
                <w:bCs w:val="false"/>
                <w:color w:val="000000"/>
                <w:sz w:val="20"/>
                <w:szCs w:val="20"/>
              </w:rPr>
              <w:t xml:space="preserve">2.60</w:t>
            </w:r>
          </w:p>
        </w:tc>
        <w:tc>
          <w:tcPr>
            <w:tcW w:type="dxa" w:w="1550"/>
            <w:vAlign w:val="center"/>
          </w:tcPr>
          <w:p>
            <w:pPr>
              <w:jc w:val="center"/>
            </w:pPr>
            <w:r>
              <w:rPr>
                <w:b w:val="false"/>
                <w:bCs w:val="false"/>
                <w:color w:val="000000"/>
                <w:sz w:val="20"/>
                <w:szCs w:val="20"/>
              </w:rPr>
              <w:t xml:space="preserve">0.55</w:t>
            </w:r>
          </w:p>
        </w:tc>
        <w:tc>
          <w:tcPr>
            <w:tcW w:type="dxa" w:w="1550"/>
            <w:vAlign w:val="center"/>
          </w:tcPr>
          <w:p>
            <w:pPr>
              <w:jc w:val="center"/>
            </w:pPr>
            <w:r>
              <w:rPr>
                <w:b w:val="false"/>
                <w:bCs w:val="false"/>
                <w:color w:val="000000"/>
                <w:sz w:val="20"/>
                <w:szCs w:val="20"/>
              </w:rPr>
              <w:t xml:space="preserve">17.93</w:t>
            </w:r>
          </w:p>
        </w:tc>
      </w:tr>
      <w:tr>
        <w:tc>
          <w:tcPr>
            <w:tcW w:type="dxa" w:w="2300"/>
            <w:vAlign w:val="center"/>
          </w:tcPr>
          <w:p>
            <w:pPr>
              <w:jc w:val="center"/>
            </w:pPr>
            <w:r>
              <w:rPr>
                <w:b w:val="false"/>
                <w:bCs w:val="false"/>
                <w:color w:val="000000"/>
                <w:sz w:val="20"/>
                <w:szCs w:val="20"/>
              </w:rPr>
              <w:t xml:space="preserve">Shipment Weight (kg)</w:t>
            </w:r>
          </w:p>
        </w:tc>
        <w:tc>
          <w:tcPr>
            <w:tcW w:type="dxa" w:w="1550"/>
            <w:vAlign w:val="center"/>
          </w:tcPr>
          <w:p>
            <w:pPr>
              <w:jc w:val="center"/>
            </w:pPr>
            <w:r>
              <w:rPr>
                <w:b w:val="false"/>
                <w:bCs w:val="false"/>
                <w:color w:val="000000"/>
                <w:sz w:val="20"/>
                <w:szCs w:val="20"/>
              </w:rPr>
              <w:t xml:space="preserve">2.35</w:t>
            </w:r>
          </w:p>
        </w:tc>
        <w:tc>
          <w:tcPr>
            <w:tcW w:type="dxa" w:w="1550"/>
            <w:vAlign w:val="center"/>
          </w:tcPr>
          <w:p>
            <w:pPr>
              <w:jc w:val="center"/>
            </w:pPr>
            <w:r>
              <w:rPr>
                <w:b w:val="false"/>
                <w:bCs w:val="false"/>
                <w:color w:val="000000"/>
                <w:sz w:val="20"/>
                <w:szCs w:val="20"/>
              </w:rPr>
              <w:t xml:space="preserve">2.02</w:t>
            </w:r>
          </w:p>
        </w:tc>
        <w:tc>
          <w:tcPr>
            <w:tcW w:type="dxa" w:w="1550"/>
            <w:vAlign w:val="center"/>
          </w:tcPr>
          <w:p>
            <w:pPr>
              <w:jc w:val="center"/>
            </w:pPr>
            <w:r>
              <w:rPr>
                <w:b w:val="false"/>
                <w:bCs w:val="false"/>
                <w:color w:val="000000"/>
                <w:sz w:val="20"/>
                <w:szCs w:val="20"/>
              </w:rPr>
              <w:t xml:space="preserve">1.47</w:t>
            </w:r>
          </w:p>
        </w:tc>
        <w:tc>
          <w:tcPr>
            <w:tcW w:type="dxa" w:w="1550"/>
            <w:vAlign w:val="center"/>
          </w:tcPr>
          <w:p>
            <w:pPr>
              <w:jc w:val="center"/>
            </w:pPr>
            <w:r>
              <w:rPr>
                <w:b w:val="false"/>
                <w:bCs w:val="false"/>
                <w:color w:val="000000"/>
                <w:sz w:val="20"/>
                <w:szCs w:val="20"/>
              </w:rPr>
              <w:t xml:space="preserve">0.21</w:t>
            </w:r>
          </w:p>
        </w:tc>
        <w:tc>
          <w:tcPr>
            <w:tcW w:type="dxa" w:w="1550"/>
            <w:vAlign w:val="center"/>
          </w:tcPr>
          <w:p>
            <w:pPr>
              <w:jc w:val="center"/>
            </w:pPr>
            <w:r>
              <w:rPr>
                <w:b w:val="false"/>
                <w:bCs w:val="false"/>
                <w:color w:val="000000"/>
                <w:sz w:val="20"/>
                <w:szCs w:val="20"/>
              </w:rPr>
              <w:t xml:space="preserve">11.44</w:t>
            </w:r>
          </w:p>
        </w:tc>
      </w:tr>
      <w:tr>
        <w:tc>
          <w:tcPr>
            <w:tcW w:type="dxa" w:w="2300"/>
            <w:vAlign w:val="center"/>
          </w:tcPr>
          <w:p>
            <w:pPr>
              <w:jc w:val="center"/>
            </w:pPr>
            <w:r>
              <w:rPr>
                <w:b w:val="false"/>
                <w:bCs w:val="false"/>
                <w:color w:val="000000"/>
                <w:sz w:val="20"/>
                <w:szCs w:val="20"/>
              </w:rPr>
              <w:t xml:space="preserve">Delivery Time (min)</w:t>
            </w:r>
          </w:p>
        </w:tc>
        <w:tc>
          <w:tcPr>
            <w:tcW w:type="dxa" w:w="1550"/>
            <w:vAlign w:val="center"/>
          </w:tcPr>
          <w:p>
            <w:pPr>
              <w:jc w:val="center"/>
            </w:pPr>
            <w:r>
              <w:rPr>
                <w:b w:val="false"/>
                <w:bCs w:val="false"/>
                <w:color w:val="000000"/>
                <w:sz w:val="20"/>
                <w:szCs w:val="20"/>
              </w:rPr>
              <w:t xml:space="preserve">20.23</w:t>
            </w:r>
          </w:p>
        </w:tc>
        <w:tc>
          <w:tcPr>
            <w:tcW w:type="dxa" w:w="1550"/>
            <w:vAlign w:val="center"/>
          </w:tcPr>
          <w:p>
            <w:pPr>
              <w:jc w:val="center"/>
            </w:pPr>
            <w:r>
              <w:rPr>
                <w:b w:val="false"/>
                <w:bCs w:val="false"/>
                <w:color w:val="000000"/>
                <w:sz w:val="20"/>
                <w:szCs w:val="20"/>
              </w:rPr>
              <w:t xml:space="preserve">18.35</w:t>
            </w:r>
          </w:p>
        </w:tc>
        <w:tc>
          <w:tcPr>
            <w:tcW w:type="dxa" w:w="1550"/>
            <w:vAlign w:val="center"/>
          </w:tcPr>
          <w:p>
            <w:pPr>
              <w:jc w:val="center"/>
            </w:pPr>
            <w:r>
              <w:rPr>
                <w:b w:val="false"/>
                <w:bCs w:val="false"/>
                <w:color w:val="000000"/>
                <w:sz w:val="20"/>
                <w:szCs w:val="20"/>
              </w:rPr>
              <w:t xml:space="preserve">10.49</w:t>
            </w:r>
          </w:p>
        </w:tc>
        <w:tc>
          <w:tcPr>
            <w:tcW w:type="dxa" w:w="1550"/>
            <w:vAlign w:val="center"/>
          </w:tcPr>
          <w:p>
            <w:pPr>
              <w:jc w:val="center"/>
            </w:pPr>
            <w:r>
              <w:rPr>
                <w:b w:val="false"/>
                <w:bCs w:val="false"/>
                <w:color w:val="000000"/>
                <w:sz w:val="20"/>
                <w:szCs w:val="20"/>
              </w:rPr>
              <w:t xml:space="preserve">4.00</w:t>
            </w:r>
          </w:p>
        </w:tc>
        <w:tc>
          <w:tcPr>
            <w:tcW w:type="dxa" w:w="1550"/>
            <w:vAlign w:val="center"/>
          </w:tcPr>
          <w:p>
            <w:pPr>
              <w:jc w:val="center"/>
            </w:pPr>
            <w:r>
              <w:rPr>
                <w:b w:val="false"/>
                <w:bCs w:val="false"/>
                <w:color w:val="000000"/>
                <w:sz w:val="20"/>
                <w:szCs w:val="20"/>
              </w:rPr>
              <w:t xml:space="preserve">109.70</w:t>
            </w:r>
          </w:p>
        </w:tc>
      </w:tr>
      <w:tr>
        <w:tc>
          <w:tcPr>
            <w:tcW w:type="dxa" w:w="2300"/>
            <w:vAlign w:val="center"/>
          </w:tcPr>
          <w:p>
            <w:pPr>
              <w:jc w:val="center"/>
            </w:pPr>
            <w:r>
              <w:rPr>
                <w:b w:val="false"/>
                <w:bCs w:val="false"/>
                <w:color w:val="000000"/>
                <w:sz w:val="20"/>
                <w:szCs w:val="20"/>
              </w:rPr>
              <w:t xml:space="preserve">Fuel Cost (₹)</w:t>
            </w:r>
          </w:p>
        </w:tc>
        <w:tc>
          <w:tcPr>
            <w:tcW w:type="dxa" w:w="1550"/>
            <w:vAlign w:val="center"/>
          </w:tcPr>
          <w:p>
            <w:pPr>
              <w:jc w:val="center"/>
            </w:pPr>
            <w:r>
              <w:rPr>
                <w:b w:val="false"/>
                <w:bCs w:val="false"/>
                <w:color w:val="000000"/>
                <w:sz w:val="20"/>
                <w:szCs w:val="20"/>
              </w:rPr>
              <w:t xml:space="preserve">7.37</w:t>
            </w:r>
          </w:p>
        </w:tc>
        <w:tc>
          <w:tcPr>
            <w:tcW w:type="dxa" w:w="1550"/>
            <w:vAlign w:val="center"/>
          </w:tcPr>
          <w:p>
            <w:pPr>
              <w:jc w:val="center"/>
            </w:pPr>
            <w:r>
              <w:rPr>
                <w:b w:val="false"/>
                <w:bCs w:val="false"/>
                <w:color w:val="000000"/>
                <w:sz w:val="20"/>
                <w:szCs w:val="20"/>
              </w:rPr>
              <w:t xml:space="preserve">5.92</w:t>
            </w:r>
          </w:p>
        </w:tc>
        <w:tc>
          <w:tcPr>
            <w:tcW w:type="dxa" w:w="1550"/>
            <w:vAlign w:val="center"/>
          </w:tcPr>
          <w:p>
            <w:pPr>
              <w:jc w:val="center"/>
            </w:pPr>
            <w:r>
              <w:rPr>
                <w:b w:val="false"/>
                <w:bCs w:val="false"/>
                <w:color w:val="000000"/>
                <w:sz w:val="20"/>
                <w:szCs w:val="20"/>
              </w:rPr>
              <w:t xml:space="preserve">5.43</w:t>
            </w:r>
          </w:p>
        </w:tc>
        <w:tc>
          <w:tcPr>
            <w:tcW w:type="dxa" w:w="1550"/>
            <w:vAlign w:val="center"/>
          </w:tcPr>
          <w:p>
            <w:pPr>
              <w:jc w:val="center"/>
            </w:pPr>
            <w:r>
              <w:rPr>
                <w:b w:val="false"/>
                <w:bCs w:val="false"/>
                <w:color w:val="000000"/>
                <w:sz w:val="20"/>
                <w:szCs w:val="20"/>
              </w:rPr>
              <w:t xml:space="preserve">0.34</w:t>
            </w:r>
          </w:p>
        </w:tc>
        <w:tc>
          <w:tcPr>
            <w:tcW w:type="dxa" w:w="1550"/>
            <w:vAlign w:val="center"/>
          </w:tcPr>
          <w:p>
            <w:pPr>
              <w:jc w:val="center"/>
            </w:pPr>
            <w:r>
              <w:rPr>
                <w:b w:val="false"/>
                <w:bCs w:val="false"/>
                <w:color w:val="000000"/>
                <w:sz w:val="20"/>
                <w:szCs w:val="20"/>
              </w:rPr>
              <w:t xml:space="preserve">39.64</w:t>
            </w:r>
          </w:p>
        </w:tc>
      </w:tr>
      <w:tr>
        <w:tc>
          <w:tcPr>
            <w:tcW w:type="dxa" w:w="2300"/>
            <w:vAlign w:val="center"/>
          </w:tcPr>
          <w:p>
            <w:pPr>
              <w:jc w:val="center"/>
            </w:pPr>
            <w:r>
              <w:rPr>
                <w:b w:val="false"/>
                <w:bCs w:val="false"/>
                <w:color w:val="000000"/>
                <w:sz w:val="20"/>
                <w:szCs w:val="20"/>
              </w:rPr>
              <w:t xml:space="preserve">Delivery Cost (₹)</w:t>
            </w:r>
          </w:p>
        </w:tc>
        <w:tc>
          <w:tcPr>
            <w:tcW w:type="dxa" w:w="1550"/>
            <w:vAlign w:val="center"/>
          </w:tcPr>
          <w:p>
            <w:pPr>
              <w:jc w:val="center"/>
            </w:pPr>
            <w:r>
              <w:rPr>
                <w:b w:val="false"/>
                <w:bCs w:val="false"/>
                <w:color w:val="000000"/>
                <w:sz w:val="20"/>
                <w:szCs w:val="20"/>
              </w:rPr>
              <w:t xml:space="preserve">32.60</w:t>
            </w:r>
          </w:p>
        </w:tc>
        <w:tc>
          <w:tcPr>
            <w:tcW w:type="dxa" w:w="1550"/>
            <w:vAlign w:val="center"/>
          </w:tcPr>
          <w:p>
            <w:pPr>
              <w:jc w:val="center"/>
            </w:pPr>
            <w:r>
              <w:rPr>
                <w:b w:val="false"/>
                <w:bCs w:val="false"/>
                <w:color w:val="000000"/>
                <w:sz w:val="20"/>
                <w:szCs w:val="20"/>
              </w:rPr>
              <w:t xml:space="preserve">31.54</w:t>
            </w:r>
          </w:p>
        </w:tc>
        <w:tc>
          <w:tcPr>
            <w:tcW w:type="dxa" w:w="1550"/>
            <w:vAlign w:val="center"/>
          </w:tcPr>
          <w:p>
            <w:pPr>
              <w:jc w:val="center"/>
            </w:pPr>
            <w:r>
              <w:rPr>
                <w:b w:val="false"/>
                <w:bCs w:val="false"/>
                <w:color w:val="000000"/>
                <w:sz w:val="20"/>
                <w:szCs w:val="20"/>
              </w:rPr>
              <w:t xml:space="preserve">6.42</w:t>
            </w:r>
          </w:p>
        </w:tc>
        <w:tc>
          <w:tcPr>
            <w:tcW w:type="dxa" w:w="1550"/>
            <w:vAlign w:val="center"/>
          </w:tcPr>
          <w:p>
            <w:pPr>
              <w:jc w:val="center"/>
            </w:pPr>
            <w:r>
              <w:rPr>
                <w:b w:val="false"/>
                <w:bCs w:val="false"/>
                <w:color w:val="000000"/>
                <w:sz w:val="20"/>
                <w:szCs w:val="20"/>
              </w:rPr>
              <w:t xml:space="preserve">20.00</w:t>
            </w:r>
          </w:p>
        </w:tc>
        <w:tc>
          <w:tcPr>
            <w:tcW w:type="dxa" w:w="1550"/>
            <w:vAlign w:val="center"/>
          </w:tcPr>
          <w:p>
            <w:pPr>
              <w:jc w:val="center"/>
            </w:pPr>
            <w:r>
              <w:rPr>
                <w:b w:val="false"/>
                <w:bCs w:val="false"/>
                <w:color w:val="000000"/>
                <w:sz w:val="20"/>
                <w:szCs w:val="20"/>
              </w:rPr>
              <w:t xml:space="preserve">69.20</w:t>
            </w:r>
          </w:p>
        </w:tc>
      </w:tr>
      <w:tr>
        <w:tc>
          <w:tcPr>
            <w:tcW w:type="dxa" w:w="2300"/>
            <w:vAlign w:val="center"/>
          </w:tcPr>
          <w:p>
            <w:pPr>
              <w:jc w:val="center"/>
            </w:pPr>
            <w:r>
              <w:rPr>
                <w:b w:val="false"/>
                <w:bCs w:val="false"/>
                <w:color w:val="000000"/>
                <w:sz w:val="20"/>
                <w:szCs w:val="20"/>
              </w:rPr>
              <w:t xml:space="preserve">Customer Rating (1-5)</w:t>
            </w:r>
          </w:p>
        </w:tc>
        <w:tc>
          <w:tcPr>
            <w:tcW w:type="dxa" w:w="1550"/>
            <w:vAlign w:val="center"/>
          </w:tcPr>
          <w:p>
            <w:pPr>
              <w:jc w:val="center"/>
            </w:pPr>
            <w:r>
              <w:rPr>
                <w:b w:val="false"/>
                <w:bCs w:val="false"/>
                <w:color w:val="000000"/>
                <w:sz w:val="20"/>
                <w:szCs w:val="20"/>
              </w:rPr>
              <w:t xml:space="preserve">4.77</w:t>
            </w:r>
          </w:p>
        </w:tc>
        <w:tc>
          <w:tcPr>
            <w:tcW w:type="dxa" w:w="1550"/>
            <w:vAlign w:val="center"/>
          </w:tcPr>
          <w:p>
            <w:pPr>
              <w:jc w:val="center"/>
            </w:pPr>
            <w:r>
              <w:rPr>
                <w:b w:val="false"/>
                <w:bCs w:val="false"/>
                <w:color w:val="000000"/>
                <w:sz w:val="20"/>
                <w:szCs w:val="20"/>
              </w:rPr>
              <w:t xml:space="preserve">4.90</w:t>
            </w:r>
          </w:p>
        </w:tc>
        <w:tc>
          <w:tcPr>
            <w:tcW w:type="dxa" w:w="1550"/>
            <w:vAlign w:val="center"/>
          </w:tcPr>
          <w:p>
            <w:pPr>
              <w:jc w:val="center"/>
            </w:pPr>
            <w:r>
              <w:rPr>
                <w:b w:val="false"/>
                <w:bCs w:val="false"/>
                <w:color w:val="000000"/>
                <w:sz w:val="20"/>
                <w:szCs w:val="20"/>
              </w:rPr>
              <w:t xml:space="preserve">0.39</w:t>
            </w:r>
          </w:p>
        </w:tc>
        <w:tc>
          <w:tcPr>
            <w:tcW w:type="dxa" w:w="1550"/>
            <w:vAlign w:val="center"/>
          </w:tcPr>
          <w:p>
            <w:pPr>
              <w:jc w:val="center"/>
            </w:pPr>
            <w:r>
              <w:rPr>
                <w:b w:val="false"/>
                <w:bCs w:val="false"/>
                <w:color w:val="000000"/>
                <w:sz w:val="20"/>
                <w:szCs w:val="20"/>
              </w:rPr>
              <w:t xml:space="preserve">2.80</w:t>
            </w:r>
          </w:p>
        </w:tc>
        <w:tc>
          <w:tcPr>
            <w:tcW w:type="dxa" w:w="1550"/>
            <w:vAlign w:val="center"/>
          </w:tcPr>
          <w:p>
            <w:pPr>
              <w:jc w:val="center"/>
            </w:pPr>
            <w:r>
              <w:rPr>
                <w:b w:val="false"/>
                <w:bCs w:val="false"/>
                <w:color w:val="000000"/>
                <w:sz w:val="20"/>
                <w:szCs w:val="20"/>
              </w:rPr>
              <w:t xml:space="preserve">5.00</w:t>
            </w:r>
          </w:p>
        </w:tc>
      </w:tr>
    </w:tbl>
    <w:p>
      <w:pPr>
        <w:spacing w:after="200"/>
      </w:pPr>
    </w:p>
    <w:p>
      <w:pPr>
        <w:pStyle w:val="Heading2"/>
        <w:spacing w:after="120" w:before="240"/>
      </w:pPr>
      <w:r>
        <w:t xml:space="preserve">3.2 Data Quality</w:t>
      </w:r>
    </w:p>
    <w:p>
      <w:pPr>
        <w:spacing w:after="160"/>
        <w:jc w:val="both"/>
      </w:pPr>
      <w:r>
        <w:t xml:space="preserve">The simulated dataset contains zero missing values across all 17 columns, allowing the analysis to proceed directly to distribution and correlation analysis without an imputation step.</w:t>
      </w:r>
    </w:p>
    <w:p>
      <w:pPr>
        <w:pStyle w:val="Heading2"/>
        <w:spacing w:after="120" w:before="240"/>
      </w:pPr>
      <w:r>
        <w:t xml:space="preserve">3.3 On-Time Performance</w:t>
      </w:r>
    </w:p>
    <w:p>
      <w:pPr>
        <w:spacing w:after="160"/>
        <w:jc w:val="both"/>
      </w:pPr>
      <w:r>
        <w:t xml:space="preserve">Across all 2,000 deliveries, the fleet achieved a 90.9% on-time rate against zone-specific SLAs, with 9.1% of deliveries breaching their promised delivery window.</w:t>
      </w:r>
    </w:p>
    <w:p>
      <w:pPr>
        <w:pStyle w:val="Heading2"/>
        <w:spacing w:after="120" w:before="240"/>
      </w:pPr>
      <w:r>
        <w:t xml:space="preserve">3.4 Correlation Analysis</w:t>
      </w:r>
    </w:p>
    <w:p>
      <w:pPr>
        <w:spacing w:after="160"/>
        <w:jc w:val="both"/>
      </w:pPr>
      <w:r>
        <w:t xml:space="preserve">A Pearson correlation matrix was computed across the six numeric variables to quantify relationships between trip characteristics, cost, and customer satisfaction:</w:t>
      </w:r>
    </w:p>
    <w:p>
      <w:pPr>
        <w:pStyle w:val="ListParagraph"/>
        <w:numPr>
          <w:ilvl w:val="0"/>
          <w:numId w:val="1"/>
        </w:numPr>
        <w:spacing w:after="80"/>
      </w:pPr>
      <w:r>
        <w:t xml:space="preserve">distance_km ↔ delivery_time_min: r = 0.81 (strong positive) — distance is the dominant driver of delivery duration</w:t>
      </w:r>
    </w:p>
    <w:p>
      <w:pPr>
        <w:pStyle w:val="ListParagraph"/>
        <w:numPr>
          <w:ilvl w:val="0"/>
          <w:numId w:val="1"/>
        </w:numPr>
        <w:spacing w:after="80"/>
      </w:pPr>
      <w:r>
        <w:t xml:space="preserve">distance_km ↔ fuel_cost_inr: r = 0.82 (strong positive) — confirms distance-based fuel consumption model</w:t>
      </w:r>
    </w:p>
    <w:p>
      <w:pPr>
        <w:pStyle w:val="ListParagraph"/>
        <w:numPr>
          <w:ilvl w:val="0"/>
          <w:numId w:val="1"/>
        </w:numPr>
        <w:spacing w:after="80"/>
      </w:pPr>
      <w:r>
        <w:t xml:space="preserve">delivery_time_min ↔ customer_rating: r = -0.62 (moderate negative) — slower deliveries directly erode customer satisfaction</w:t>
      </w:r>
    </w:p>
    <w:p>
      <w:pPr>
        <w:pStyle w:val="ListParagraph"/>
        <w:numPr>
          <w:ilvl w:val="0"/>
          <w:numId w:val="1"/>
        </w:numPr>
        <w:spacing w:after="80"/>
      </w:pPr>
      <w:r>
        <w:t xml:space="preserve">shipment_weight_kg ↔ delivery_cost_inr: r = 0.17 (weak positive) — weight surcharges have a smaller cost impact than distance</w:t>
      </w:r>
    </w:p>
    <w:p>
      <w:pPr>
        <w:pStyle w:val="Heading1"/>
        <w:spacing w:after="160" w:before="320"/>
      </w:pPr>
      <w:r>
        <w:t xml:space="preserve">4. Visualizations</w:t>
      </w:r>
    </w:p>
    <w:p>
      <w:pPr>
        <w:spacing w:after="160"/>
        <w:jc w:val="both"/>
      </w:pPr>
      <w:r>
        <w:t xml:space="preserve">Eight visualizations were produced using Matplotlib and Seaborn, each selected to answer a specific operational question about the logistics process.</w:t>
      </w:r>
    </w:p>
    <w:p>
      <w:pPr>
        <w:pStyle w:val="Heading2"/>
        <w:spacing w:after="120" w:before="240"/>
      </w:pPr>
      <w:r>
        <w:t xml:space="preserve">4.1 Delivery Time Distribution</w:t>
      </w:r>
    </w:p>
    <w:p>
      <w:pPr>
        <w:spacing w:after="160"/>
        <w:jc w:val="both"/>
      </w:pPr>
      <w:r>
        <w:t xml:space="preserve">A histogram with a kernel density overlay shows the shape and spread of delivery times, highlighting the right-skew caused by a minority of high-delay trips.</w:t>
      </w:r>
    </w:p>
    <w:p>
      <w:pPr>
        <w:spacing w:after="8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280"/>
        <w:jc w:val="center"/>
      </w:pPr>
      <w:r>
        <w:rPr>
          <w:i/>
          <w:iCs/>
          <w:color w:val="555555"/>
          <w:sz w:val="20"/>
          <w:szCs w:val="20"/>
        </w:rPr>
        <w:t xml:space="preserve">Figure 1: Distribution of delivery times (mean 20.2 min, median 18.4 min).</w:t>
      </w:r>
    </w:p>
    <w:p>
      <w:pPr>
        <w:pStyle w:val="Heading2"/>
        <w:spacing w:after="120" w:before="240"/>
      </w:pPr>
      <w:r>
        <w:t xml:space="preserve">4.2 Delivery Time by Traffic Condition</w:t>
      </w:r>
    </w:p>
    <w:p>
      <w:pPr>
        <w:spacing w:after="160"/>
        <w:jc w:val="both"/>
      </w:pPr>
      <w:r>
        <w:t xml:space="preserve">A boxplot compares the spread of delivery times across Low, Medium, and High traffic conditions, making it easy to see both the shift in median and the growth in variability (and outliers) as traffic worsens.</w:t>
      </w:r>
    </w:p>
    <w:p>
      <w:pPr>
        <w:spacing w:after="8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280"/>
        <w:jc w:val="center"/>
      </w:pPr>
      <w:r>
        <w:rPr>
          <w:i/>
          <w:iCs/>
          <w:color w:val="555555"/>
          <w:sz w:val="20"/>
          <w:szCs w:val="20"/>
        </w:rPr>
        <w:t xml:space="preserve">Figure 2: High traffic nearly doubles median delivery time versus low traffic and produces far more extreme outliers.</w:t>
      </w:r>
    </w:p>
    <w:p>
      <w:pPr>
        <w:pStyle w:val="Heading2"/>
        <w:spacing w:after="120" w:before="240"/>
      </w:pPr>
      <w:r>
        <w:t xml:space="preserve">4.3 Distance vs. Delivery Time by Weather</w:t>
      </w:r>
    </w:p>
    <w:p>
      <w:pPr>
        <w:spacing w:after="160"/>
        <w:jc w:val="both"/>
      </w:pPr>
      <w:r>
        <w:t xml:space="preserve">A scatter plot with weather as a color dimension reveals both the strong linear relationship between distance and delivery time, and how rain shifts the entire relationship upward (longer time for the same distance).</w:t>
      </w:r>
    </w:p>
    <w:p>
      <w:pPr>
        <w:spacing w:after="80" w:before="120"/>
        <w:jc w:val="center"/>
      </w:pPr>
      <w:r>
        <w:drawing>
          <wp:inline distT="0" distB="0" distL="0" distR="0">
            <wp:extent cx="4953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09950"/>
                    </a:xfrm>
                    <a:prstGeom prst="rect">
                      <a:avLst/>
                    </a:prstGeom>
                  </pic:spPr>
                </pic:pic>
              </a:graphicData>
            </a:graphic>
          </wp:inline>
        </w:drawing>
      </w:r>
    </w:p>
    <w:p>
      <w:pPr>
        <w:spacing w:after="280"/>
        <w:jc w:val="center"/>
      </w:pPr>
      <w:r>
        <w:rPr>
          <w:i/>
          <w:iCs/>
          <w:color w:val="555555"/>
          <w:sz w:val="20"/>
          <w:szCs w:val="20"/>
        </w:rPr>
        <w:t xml:space="preserve">Figure 3: Rain-day deliveries (red) consistently take longer than clear-day deliveries (blue) at the same distance.</w:t>
      </w:r>
    </w:p>
    <w:p>
      <w:pPr>
        <w:pStyle w:val="Heading2"/>
        <w:spacing w:after="120" w:before="240"/>
      </w:pPr>
      <w:r>
        <w:t xml:space="preserve">4.4 Average Cost by Vehicle Type</w:t>
      </w:r>
    </w:p>
    <w:p>
      <w:pPr>
        <w:spacing w:after="160"/>
        <w:jc w:val="both"/>
      </w:pPr>
      <w:r>
        <w:t xml:space="preserve">A grouped bar chart compares average fuel cost and total delivery cost across the three vehicle types, useful for fleet-mix cost optimization decisions.</w:t>
      </w:r>
    </w:p>
    <w:p>
      <w:pPr>
        <w:spacing w:after="8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pic:spPr>
                </pic:pic>
              </a:graphicData>
            </a:graphic>
          </wp:inline>
        </w:drawing>
      </w:r>
    </w:p>
    <w:p>
      <w:pPr>
        <w:spacing w:after="280"/>
        <w:jc w:val="center"/>
      </w:pPr>
      <w:r>
        <w:rPr>
          <w:i/>
          <w:iCs/>
          <w:color w:val="555555"/>
          <w:sz w:val="20"/>
          <w:szCs w:val="20"/>
        </w:rPr>
        <w:t xml:space="preserve">Figure 4: E-bikes are the cheapest to operate per delivery; motorbikes are fastest for short trips but costliest.</w:t>
      </w:r>
    </w:p>
    <w:p>
      <w:pPr>
        <w:pStyle w:val="Heading2"/>
        <w:spacing w:after="120" w:before="240"/>
      </w:pPr>
      <w:r>
        <w:t xml:space="preserve">4.5 Correlation Heatmap</w:t>
      </w:r>
    </w:p>
    <w:p>
      <w:pPr>
        <w:spacing w:after="160"/>
        <w:jc w:val="both"/>
      </w:pPr>
      <w:r>
        <w:t xml:space="preserve">A heatmap visualizes the full correlation matrix at a glance, making it immediately clear which metrics move together and which are largely independent (e.g., shipment weight is nearly uncorrelated with delivery time).</w:t>
      </w:r>
    </w:p>
    <w:p>
      <w:pPr>
        <w:spacing w:after="80" w:before="120"/>
        <w:jc w:val="center"/>
      </w:pPr>
      <w:r>
        <w:drawing>
          <wp:inline distT="0" distB="0" distL="0" distR="0">
            <wp:extent cx="44767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048125"/>
                    </a:xfrm>
                    <a:prstGeom prst="rect">
                      <a:avLst/>
                    </a:prstGeom>
                  </pic:spPr>
                </pic:pic>
              </a:graphicData>
            </a:graphic>
          </wp:inline>
        </w:drawing>
      </w:r>
    </w:p>
    <w:p>
      <w:pPr>
        <w:spacing w:after="280"/>
        <w:jc w:val="center"/>
      </w:pPr>
      <w:r>
        <w:rPr>
          <w:i/>
          <w:iCs/>
          <w:color w:val="555555"/>
          <w:sz w:val="20"/>
          <w:szCs w:val="20"/>
        </w:rPr>
        <w:t xml:space="preserve">Figure 5: Distance is the strongest driver of both time and cost; delivery time is the strongest (negative) driver of customer rating.</w:t>
      </w:r>
    </w:p>
    <w:p>
      <w:pPr>
        <w:pStyle w:val="Heading2"/>
        <w:spacing w:after="120" w:before="240"/>
      </w:pPr>
      <w:r>
        <w:t xml:space="preserve">4.6 Delay Rate by Zone</w:t>
      </w:r>
    </w:p>
    <w:p>
      <w:pPr>
        <w:spacing w:after="160"/>
        <w:jc w:val="both"/>
      </w:pPr>
      <w:r>
        <w:t xml:space="preserve">A horizontal bar chart ranks the five delivery zones by delay rate, immediately surfacing the operational bottleneck zone that should be prioritized for intervention.</w:t>
      </w:r>
    </w:p>
    <w:p>
      <w:pPr>
        <w:spacing w:after="8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95625"/>
                    </a:xfrm>
                    <a:prstGeom prst="rect">
                      <a:avLst/>
                    </a:prstGeom>
                  </pic:spPr>
                </pic:pic>
              </a:graphicData>
            </a:graphic>
          </wp:inline>
        </w:drawing>
      </w:r>
    </w:p>
    <w:p>
      <w:pPr>
        <w:spacing w:after="280"/>
        <w:jc w:val="center"/>
      </w:pPr>
      <w:r>
        <w:rPr>
          <w:i/>
          <w:iCs/>
          <w:color w:val="555555"/>
          <w:sz w:val="20"/>
          <w:szCs w:val="20"/>
        </w:rPr>
        <w:t xml:space="preserve">Figure 6: Zone A (Central) has the highest delay rate (14.0%), roughly 3x Zone E (West) at 5.0%, despite a shorter average distance — pointing to a congestion/SLA-design issue rather than distance.</w:t>
      </w:r>
    </w:p>
    <w:p>
      <w:pPr>
        <w:pStyle w:val="Heading2"/>
        <w:spacing w:after="120" w:before="240"/>
      </w:pPr>
      <w:r>
        <w:t xml:space="preserve">4.7 Daily Delivery Time Trend</w:t>
      </w:r>
    </w:p>
    <w:p>
      <w:pPr>
        <w:spacing w:after="160"/>
        <w:jc w:val="both"/>
      </w:pPr>
      <w:r>
        <w:t xml:space="preserve">A line chart with a 7-day rolling average smooths day-to-day noise to reveal the underlying operational trend across the 90-day window, useful for spotting seasonal effects or deteriorating performance over time.</w:t>
      </w:r>
    </w:p>
    <w:p>
      <w:pPr>
        <w:spacing w:after="8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952750"/>
                    </a:xfrm>
                    <a:prstGeom prst="rect">
                      <a:avLst/>
                    </a:prstGeom>
                  </pic:spPr>
                </pic:pic>
              </a:graphicData>
            </a:graphic>
          </wp:inline>
        </w:drawing>
      </w:r>
    </w:p>
    <w:p>
      <w:pPr>
        <w:spacing w:after="280"/>
        <w:jc w:val="center"/>
      </w:pPr>
      <w:r>
        <w:rPr>
          <w:i/>
          <w:iCs/>
          <w:color w:val="555555"/>
          <w:sz w:val="20"/>
          <w:szCs w:val="20"/>
        </w:rPr>
        <w:t xml:space="preserve">Figure 7: Daily average delivery time fluctuates with weather/traffic conditions but shows no long-term structural drift over the period.</w:t>
      </w:r>
    </w:p>
    <w:p>
      <w:pPr>
        <w:pStyle w:val="Heading2"/>
        <w:spacing w:after="120" w:before="240"/>
      </w:pPr>
      <w:r>
        <w:t xml:space="preserve">4.8 Fleet Composition</w:t>
      </w:r>
    </w:p>
    <w:p>
      <w:pPr>
        <w:spacing w:after="160"/>
        <w:jc w:val="both"/>
      </w:pPr>
      <w:r>
        <w:t xml:space="preserve">A pie chart shows the current vehicle mix in the fleet, providing context for interpreting the cost and speed comparisons above.</w:t>
      </w:r>
    </w:p>
    <w:p>
      <w:pPr>
        <w:spacing w:after="8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4000500"/>
                    </a:xfrm>
                    <a:prstGeom prst="rect">
                      <a:avLst/>
                    </a:prstGeom>
                  </pic:spPr>
                </pic:pic>
              </a:graphicData>
            </a:graphic>
          </wp:inline>
        </w:drawing>
      </w:r>
    </w:p>
    <w:p>
      <w:pPr>
        <w:spacing w:after="280"/>
        <w:jc w:val="center"/>
      </w:pPr>
      <w:r>
        <w:rPr>
          <w:i/>
          <w:iCs/>
          <w:color w:val="555555"/>
          <w:sz w:val="20"/>
          <w:szCs w:val="20"/>
        </w:rPr>
        <w:t xml:space="preserve">Figure 8: Scooters make up the largest share of the fleet (44.6%), followed by motorbikes (35.2%) and e-bikes (20.2%).</w:t>
      </w:r>
    </w:p>
    <w:p>
      <w:pPr>
        <w:pStyle w:val="Heading1"/>
        <w:spacing w:after="160" w:before="320"/>
      </w:pPr>
      <w:r>
        <w:t xml:space="preserve">5. Group-Wise Performance Breakdown</w:t>
      </w:r>
    </w:p>
    <w:p>
      <w:pPr>
        <w:pStyle w:val="Heading2"/>
        <w:spacing w:after="120" w:before="240"/>
      </w:pPr>
      <w:r>
        <w:t xml:space="preserve">5.1 By Vehicle Type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700"/>
      </w:tblGrid>
      <w:tr>
        <w:tc>
          <w:tcPr>
            <w:tcW w:type="dxa" w:w="1900"/>
            <w:shd w:fill="2E86AB" w:val="clear"/>
            <w:vAlign w:val="center"/>
          </w:tcPr>
          <w:p>
            <w:pPr>
              <w:jc w:val="center"/>
            </w:pPr>
            <w:r>
              <w:rPr>
                <w:b/>
                <w:bCs/>
                <w:color w:val="FFFFFF"/>
                <w:sz w:val="20"/>
                <w:szCs w:val="20"/>
              </w:rPr>
              <w:t xml:space="preserve">Vehicle Type</w:t>
            </w:r>
          </w:p>
        </w:tc>
        <w:tc>
          <w:tcPr>
            <w:tcW w:type="dxa" w:w="1900"/>
            <w:shd w:fill="2E86AB" w:val="clear"/>
            <w:vAlign w:val="center"/>
          </w:tcPr>
          <w:p>
            <w:pPr>
              <w:jc w:val="center"/>
            </w:pPr>
            <w:r>
              <w:rPr>
                <w:b/>
                <w:bCs/>
                <w:color w:val="FFFFFF"/>
                <w:sz w:val="20"/>
                <w:szCs w:val="20"/>
              </w:rPr>
              <w:t xml:space="preserve">Avg Delivery Time (min)</w:t>
            </w:r>
          </w:p>
        </w:tc>
        <w:tc>
          <w:tcPr>
            <w:tcW w:type="dxa" w:w="1900"/>
            <w:shd w:fill="2E86AB" w:val="clear"/>
            <w:vAlign w:val="center"/>
          </w:tcPr>
          <w:p>
            <w:pPr>
              <w:jc w:val="center"/>
            </w:pPr>
            <w:r>
              <w:rPr>
                <w:b/>
                <w:bCs/>
                <w:color w:val="FFFFFF"/>
                <w:sz w:val="20"/>
                <w:szCs w:val="20"/>
              </w:rPr>
              <w:t xml:space="preserve">Avg Fuel Cost (₹)</w:t>
            </w:r>
          </w:p>
        </w:tc>
        <w:tc>
          <w:tcPr>
            <w:tcW w:type="dxa" w:w="1900"/>
            <w:shd w:fill="2E86AB" w:val="clear"/>
            <w:vAlign w:val="center"/>
          </w:tcPr>
          <w:p>
            <w:pPr>
              <w:jc w:val="center"/>
            </w:pPr>
            <w:r>
              <w:rPr>
                <w:b/>
                <w:bCs/>
                <w:color w:val="FFFFFF"/>
                <w:sz w:val="20"/>
                <w:szCs w:val="20"/>
              </w:rPr>
              <w:t xml:space="preserve">Avg Total Cost (₹)</w:t>
            </w:r>
          </w:p>
        </w:tc>
        <w:tc>
          <w:tcPr>
            <w:tcW w:type="dxa" w:w="1700"/>
            <w:shd w:fill="2E86AB" w:val="clear"/>
            <w:vAlign w:val="center"/>
          </w:tcPr>
          <w:p>
            <w:pPr>
              <w:jc w:val="center"/>
            </w:pPr>
            <w:r>
              <w:rPr>
                <w:b/>
                <w:bCs/>
                <w:color w:val="FFFFFF"/>
                <w:sz w:val="20"/>
                <w:szCs w:val="20"/>
              </w:rPr>
              <w:t xml:space="preserve">Delay Rate (%)</w:t>
            </w:r>
          </w:p>
        </w:tc>
      </w:tr>
      <w:tr>
        <w:tc>
          <w:tcPr>
            <w:tcW w:type="dxa" w:w="1900"/>
            <w:vAlign w:val="center"/>
          </w:tcPr>
          <w:p>
            <w:pPr>
              <w:jc w:val="center"/>
            </w:pPr>
            <w:r>
              <w:rPr>
                <w:b w:val="false"/>
                <w:bCs w:val="false"/>
                <w:color w:val="000000"/>
                <w:sz w:val="20"/>
                <w:szCs w:val="20"/>
              </w:rPr>
              <w:t xml:space="preserve">Motorbike</w:t>
            </w:r>
          </w:p>
        </w:tc>
        <w:tc>
          <w:tcPr>
            <w:tcW w:type="dxa" w:w="1900"/>
            <w:vAlign w:val="center"/>
          </w:tcPr>
          <w:p>
            <w:pPr>
              <w:jc w:val="center"/>
            </w:pPr>
            <w:r>
              <w:rPr>
                <w:b w:val="false"/>
                <w:bCs w:val="false"/>
                <w:color w:val="000000"/>
                <w:sz w:val="20"/>
                <w:szCs w:val="20"/>
              </w:rPr>
              <w:t xml:space="preserve">18.47</w:t>
            </w:r>
          </w:p>
        </w:tc>
        <w:tc>
          <w:tcPr>
            <w:tcW w:type="dxa" w:w="1900"/>
            <w:vAlign w:val="center"/>
          </w:tcPr>
          <w:p>
            <w:pPr>
              <w:jc w:val="center"/>
            </w:pPr>
            <w:r>
              <w:rPr>
                <w:b w:val="false"/>
                <w:bCs w:val="false"/>
                <w:color w:val="000000"/>
                <w:sz w:val="20"/>
                <w:szCs w:val="20"/>
              </w:rPr>
              <w:t xml:space="preserve">9.74</w:t>
            </w:r>
          </w:p>
        </w:tc>
        <w:tc>
          <w:tcPr>
            <w:tcW w:type="dxa" w:w="1900"/>
            <w:vAlign w:val="center"/>
          </w:tcPr>
          <w:p>
            <w:pPr>
              <w:jc w:val="center"/>
            </w:pPr>
            <w:r>
              <w:rPr>
                <w:b w:val="false"/>
                <w:bCs w:val="false"/>
                <w:color w:val="000000"/>
                <w:sz w:val="20"/>
                <w:szCs w:val="20"/>
              </w:rPr>
              <w:t xml:space="preserve">35.12</w:t>
            </w:r>
          </w:p>
        </w:tc>
        <w:tc>
          <w:tcPr>
            <w:tcW w:type="dxa" w:w="1700"/>
            <w:vAlign w:val="center"/>
          </w:tcPr>
          <w:p>
            <w:pPr>
              <w:jc w:val="center"/>
            </w:pPr>
            <w:r>
              <w:rPr>
                <w:b w:val="false"/>
                <w:bCs w:val="false"/>
                <w:color w:val="000000"/>
                <w:sz w:val="20"/>
                <w:szCs w:val="20"/>
              </w:rPr>
              <w:t xml:space="preserve">5.0</w:t>
            </w:r>
          </w:p>
        </w:tc>
      </w:tr>
      <w:tr>
        <w:tc>
          <w:tcPr>
            <w:tcW w:type="dxa" w:w="1900"/>
            <w:vAlign w:val="center"/>
          </w:tcPr>
          <w:p>
            <w:pPr>
              <w:jc w:val="center"/>
            </w:pPr>
            <w:r>
              <w:rPr>
                <w:b w:val="false"/>
                <w:bCs w:val="false"/>
                <w:color w:val="000000"/>
                <w:sz w:val="20"/>
                <w:szCs w:val="20"/>
              </w:rPr>
              <w:t xml:space="preserve">Scooter</w:t>
            </w:r>
          </w:p>
        </w:tc>
        <w:tc>
          <w:tcPr>
            <w:tcW w:type="dxa" w:w="1900"/>
            <w:vAlign w:val="center"/>
          </w:tcPr>
          <w:p>
            <w:pPr>
              <w:jc w:val="center"/>
            </w:pPr>
            <w:r>
              <w:rPr>
                <w:b w:val="false"/>
                <w:bCs w:val="false"/>
                <w:color w:val="000000"/>
                <w:sz w:val="20"/>
                <w:szCs w:val="20"/>
              </w:rPr>
              <w:t xml:space="preserve">20.36</w:t>
            </w:r>
          </w:p>
        </w:tc>
        <w:tc>
          <w:tcPr>
            <w:tcW w:type="dxa" w:w="1900"/>
            <w:vAlign w:val="center"/>
          </w:tcPr>
          <w:p>
            <w:pPr>
              <w:jc w:val="center"/>
            </w:pPr>
            <w:r>
              <w:rPr>
                <w:b w:val="false"/>
                <w:bCs w:val="false"/>
                <w:color w:val="000000"/>
                <w:sz w:val="20"/>
                <w:szCs w:val="20"/>
              </w:rPr>
              <w:t xml:space="preserve">7.64</w:t>
            </w:r>
          </w:p>
        </w:tc>
        <w:tc>
          <w:tcPr>
            <w:tcW w:type="dxa" w:w="1900"/>
            <w:vAlign w:val="center"/>
          </w:tcPr>
          <w:p>
            <w:pPr>
              <w:jc w:val="center"/>
            </w:pPr>
            <w:r>
              <w:rPr>
                <w:b w:val="false"/>
                <w:bCs w:val="false"/>
                <w:color w:val="000000"/>
                <w:sz w:val="20"/>
                <w:szCs w:val="20"/>
              </w:rPr>
              <w:t xml:space="preserve">32.75</w:t>
            </w:r>
          </w:p>
        </w:tc>
        <w:tc>
          <w:tcPr>
            <w:tcW w:type="dxa" w:w="1700"/>
            <w:vAlign w:val="center"/>
          </w:tcPr>
          <w:p>
            <w:pPr>
              <w:jc w:val="center"/>
            </w:pPr>
            <w:r>
              <w:rPr>
                <w:b w:val="false"/>
                <w:bCs w:val="false"/>
                <w:color w:val="000000"/>
                <w:sz w:val="20"/>
                <w:szCs w:val="20"/>
              </w:rPr>
              <w:t xml:space="preserve">9.0</w:t>
            </w:r>
          </w:p>
        </w:tc>
      </w:tr>
      <w:tr>
        <w:tc>
          <w:tcPr>
            <w:tcW w:type="dxa" w:w="1900"/>
            <w:vAlign w:val="center"/>
          </w:tcPr>
          <w:p>
            <w:pPr>
              <w:jc w:val="center"/>
            </w:pPr>
            <w:r>
              <w:rPr>
                <w:b w:val="false"/>
                <w:bCs w:val="false"/>
                <w:color w:val="000000"/>
                <w:sz w:val="20"/>
                <w:szCs w:val="20"/>
              </w:rPr>
              <w:t xml:space="preserve">E-Bike</w:t>
            </w:r>
          </w:p>
        </w:tc>
        <w:tc>
          <w:tcPr>
            <w:tcW w:type="dxa" w:w="1900"/>
            <w:vAlign w:val="center"/>
          </w:tcPr>
          <w:p>
            <w:pPr>
              <w:jc w:val="center"/>
            </w:pPr>
            <w:r>
              <w:rPr>
                <w:b w:val="false"/>
                <w:bCs w:val="false"/>
                <w:color w:val="000000"/>
                <w:sz w:val="20"/>
                <w:szCs w:val="20"/>
              </w:rPr>
              <w:t xml:space="preserve">22.98</w:t>
            </w:r>
          </w:p>
        </w:tc>
        <w:tc>
          <w:tcPr>
            <w:tcW w:type="dxa" w:w="1900"/>
            <w:vAlign w:val="center"/>
          </w:tcPr>
          <w:p>
            <w:pPr>
              <w:jc w:val="center"/>
            </w:pPr>
            <w:r>
              <w:rPr>
                <w:b w:val="false"/>
                <w:bCs w:val="false"/>
                <w:color w:val="000000"/>
                <w:sz w:val="20"/>
                <w:szCs w:val="20"/>
              </w:rPr>
              <w:t xml:space="preserve">2.63</w:t>
            </w:r>
          </w:p>
        </w:tc>
        <w:tc>
          <w:tcPr>
            <w:tcW w:type="dxa" w:w="1900"/>
            <w:vAlign w:val="center"/>
          </w:tcPr>
          <w:p>
            <w:pPr>
              <w:jc w:val="center"/>
            </w:pPr>
            <w:r>
              <w:rPr>
                <w:b w:val="false"/>
                <w:bCs w:val="false"/>
                <w:color w:val="000000"/>
                <w:sz w:val="20"/>
                <w:szCs w:val="20"/>
              </w:rPr>
              <w:t xml:space="preserve">27.90</w:t>
            </w:r>
          </w:p>
        </w:tc>
        <w:tc>
          <w:tcPr>
            <w:tcW w:type="dxa" w:w="1700"/>
            <w:vAlign w:val="center"/>
          </w:tcPr>
          <w:p>
            <w:pPr>
              <w:jc w:val="center"/>
            </w:pPr>
            <w:r>
              <w:rPr>
                <w:b w:val="false"/>
                <w:bCs w:val="false"/>
                <w:color w:val="000000"/>
                <w:sz w:val="20"/>
                <w:szCs w:val="20"/>
              </w:rPr>
              <w:t xml:space="preserve">16.0</w:t>
            </w:r>
          </w:p>
        </w:tc>
      </w:tr>
    </w:tbl>
    <w:p>
      <w:pPr>
        <w:spacing w:after="200"/>
      </w:pPr>
    </w:p>
    <w:p>
      <w:pPr>
        <w:pStyle w:val="Heading2"/>
        <w:spacing w:after="120" w:before="240"/>
      </w:pPr>
      <w:r>
        <w:t xml:space="preserve">5.2 By Delivery Zone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000"/>
        <w:gridCol w:w="2000"/>
      </w:tblGrid>
      <w:tr>
        <w:tc>
          <w:tcPr>
            <w:tcW w:type="dxa" w:w="3300"/>
            <w:shd w:fill="2E86AB" w:val="clear"/>
            <w:vAlign w:val="center"/>
          </w:tcPr>
          <w:p>
            <w:pPr>
              <w:jc w:val="center"/>
            </w:pPr>
            <w:r>
              <w:rPr>
                <w:b/>
                <w:bCs/>
                <w:color w:val="FFFFFF"/>
                <w:sz w:val="20"/>
                <w:szCs w:val="20"/>
              </w:rPr>
              <w:t xml:space="preserve">Zone</w:t>
            </w:r>
          </w:p>
        </w:tc>
        <w:tc>
          <w:tcPr>
            <w:tcW w:type="dxa" w:w="2000"/>
            <w:shd w:fill="2E86AB" w:val="clear"/>
            <w:vAlign w:val="center"/>
          </w:tcPr>
          <w:p>
            <w:pPr>
              <w:jc w:val="center"/>
            </w:pPr>
            <w:r>
              <w:rPr>
                <w:b/>
                <w:bCs/>
                <w:color w:val="FFFFFF"/>
                <w:sz w:val="20"/>
                <w:szCs w:val="20"/>
              </w:rPr>
              <w:t xml:space="preserve">Avg Delivery Time (min)</w:t>
            </w:r>
          </w:p>
        </w:tc>
        <w:tc>
          <w:tcPr>
            <w:tcW w:type="dxa" w:w="2000"/>
            <w:shd w:fill="2E86AB" w:val="clear"/>
            <w:vAlign w:val="center"/>
          </w:tcPr>
          <w:p>
            <w:pPr>
              <w:jc w:val="center"/>
            </w:pPr>
            <w:r>
              <w:rPr>
                <w:b/>
                <w:bCs/>
                <w:color w:val="FFFFFF"/>
                <w:sz w:val="20"/>
                <w:szCs w:val="20"/>
              </w:rPr>
              <w:t xml:space="preserve">Delay Rate (%)</w:t>
            </w:r>
          </w:p>
        </w:tc>
        <w:tc>
          <w:tcPr>
            <w:tcW w:type="dxa" w:w="2000"/>
            <w:shd w:fill="2E86AB" w:val="clear"/>
            <w:vAlign w:val="center"/>
          </w:tcPr>
          <w:p>
            <w:pPr>
              <w:jc w:val="center"/>
            </w:pPr>
            <w:r>
              <w:rPr>
                <w:b/>
                <w:bCs/>
                <w:color w:val="FFFFFF"/>
                <w:sz w:val="20"/>
                <w:szCs w:val="20"/>
              </w:rPr>
              <w:t xml:space="preserve">Avg Cost (₹)</w:t>
            </w:r>
          </w:p>
        </w:tc>
      </w:tr>
      <w:tr>
        <w:tc>
          <w:tcPr>
            <w:tcW w:type="dxa" w:w="3300"/>
            <w:vAlign w:val="center"/>
          </w:tcPr>
          <w:p>
            <w:pPr>
              <w:jc w:val="center"/>
            </w:pPr>
            <w:r>
              <w:rPr>
                <w:b w:val="false"/>
                <w:bCs w:val="false"/>
                <w:color w:val="000000"/>
                <w:sz w:val="20"/>
                <w:szCs w:val="20"/>
              </w:rPr>
              <w:t xml:space="preserve">Zone A - Central</w:t>
            </w:r>
          </w:p>
        </w:tc>
        <w:tc>
          <w:tcPr>
            <w:tcW w:type="dxa" w:w="2000"/>
            <w:vAlign w:val="center"/>
          </w:tcPr>
          <w:p>
            <w:pPr>
              <w:jc w:val="center"/>
            </w:pPr>
            <w:r>
              <w:rPr>
                <w:b w:val="false"/>
                <w:bCs w:val="false"/>
                <w:color w:val="000000"/>
                <w:sz w:val="20"/>
                <w:szCs w:val="20"/>
              </w:rPr>
              <w:t xml:space="preserve">20.18</w:t>
            </w:r>
          </w:p>
        </w:tc>
        <w:tc>
          <w:tcPr>
            <w:tcW w:type="dxa" w:w="2000"/>
            <w:vAlign w:val="center"/>
          </w:tcPr>
          <w:p>
            <w:pPr>
              <w:jc w:val="center"/>
            </w:pPr>
            <w:r>
              <w:rPr>
                <w:b w:val="false"/>
                <w:bCs w:val="false"/>
                <w:color w:val="000000"/>
                <w:sz w:val="20"/>
                <w:szCs w:val="20"/>
              </w:rPr>
              <w:t xml:space="preserve">14.0</w:t>
            </w:r>
          </w:p>
        </w:tc>
        <w:tc>
          <w:tcPr>
            <w:tcW w:type="dxa" w:w="2000"/>
            <w:vAlign w:val="center"/>
          </w:tcPr>
          <w:p>
            <w:pPr>
              <w:jc w:val="center"/>
            </w:pPr>
            <w:r>
              <w:rPr>
                <w:b w:val="false"/>
                <w:bCs w:val="false"/>
                <w:color w:val="000000"/>
                <w:sz w:val="20"/>
                <w:szCs w:val="20"/>
              </w:rPr>
              <w:t xml:space="preserve">32.65</w:t>
            </w:r>
          </w:p>
        </w:tc>
      </w:tr>
      <w:tr>
        <w:tc>
          <w:tcPr>
            <w:tcW w:type="dxa" w:w="3300"/>
            <w:vAlign w:val="center"/>
          </w:tcPr>
          <w:p>
            <w:pPr>
              <w:jc w:val="center"/>
            </w:pPr>
            <w:r>
              <w:rPr>
                <w:b w:val="false"/>
                <w:bCs w:val="false"/>
                <w:color w:val="000000"/>
                <w:sz w:val="20"/>
                <w:szCs w:val="20"/>
              </w:rPr>
              <w:t xml:space="preserve">Zone B - North</w:t>
            </w:r>
          </w:p>
        </w:tc>
        <w:tc>
          <w:tcPr>
            <w:tcW w:type="dxa" w:w="2000"/>
            <w:vAlign w:val="center"/>
          </w:tcPr>
          <w:p>
            <w:pPr>
              <w:jc w:val="center"/>
            </w:pPr>
            <w:r>
              <w:rPr>
                <w:b w:val="false"/>
                <w:bCs w:val="false"/>
                <w:color w:val="000000"/>
                <w:sz w:val="20"/>
                <w:szCs w:val="20"/>
              </w:rPr>
              <w:t xml:space="preserve">20.70</w:t>
            </w:r>
          </w:p>
        </w:tc>
        <w:tc>
          <w:tcPr>
            <w:tcW w:type="dxa" w:w="2000"/>
            <w:vAlign w:val="center"/>
          </w:tcPr>
          <w:p>
            <w:pPr>
              <w:jc w:val="center"/>
            </w:pPr>
            <w:r>
              <w:rPr>
                <w:b w:val="false"/>
                <w:bCs w:val="false"/>
                <w:color w:val="000000"/>
                <w:sz w:val="20"/>
                <w:szCs w:val="20"/>
              </w:rPr>
              <w:t xml:space="preserve">9.0</w:t>
            </w:r>
          </w:p>
        </w:tc>
        <w:tc>
          <w:tcPr>
            <w:tcW w:type="dxa" w:w="2000"/>
            <w:vAlign w:val="center"/>
          </w:tcPr>
          <w:p>
            <w:pPr>
              <w:jc w:val="center"/>
            </w:pPr>
            <w:r>
              <w:rPr>
                <w:b w:val="false"/>
                <w:bCs w:val="false"/>
                <w:color w:val="000000"/>
                <w:sz w:val="20"/>
                <w:szCs w:val="20"/>
              </w:rPr>
              <w:t xml:space="preserve">32.78</w:t>
            </w:r>
          </w:p>
        </w:tc>
      </w:tr>
      <w:tr>
        <w:tc>
          <w:tcPr>
            <w:tcW w:type="dxa" w:w="3300"/>
            <w:vAlign w:val="center"/>
          </w:tcPr>
          <w:p>
            <w:pPr>
              <w:jc w:val="center"/>
            </w:pPr>
            <w:r>
              <w:rPr>
                <w:b w:val="false"/>
                <w:bCs w:val="false"/>
                <w:color w:val="000000"/>
                <w:sz w:val="20"/>
                <w:szCs w:val="20"/>
              </w:rPr>
              <w:t xml:space="preserve">Zone C - South</w:t>
            </w:r>
          </w:p>
        </w:tc>
        <w:tc>
          <w:tcPr>
            <w:tcW w:type="dxa" w:w="2000"/>
            <w:vAlign w:val="center"/>
          </w:tcPr>
          <w:p>
            <w:pPr>
              <w:jc w:val="center"/>
            </w:pPr>
            <w:r>
              <w:rPr>
                <w:b w:val="false"/>
                <w:bCs w:val="false"/>
                <w:color w:val="000000"/>
                <w:sz w:val="20"/>
                <w:szCs w:val="20"/>
              </w:rPr>
              <w:t xml:space="preserve">20.60</w:t>
            </w:r>
          </w:p>
        </w:tc>
        <w:tc>
          <w:tcPr>
            <w:tcW w:type="dxa" w:w="2000"/>
            <w:vAlign w:val="center"/>
          </w:tcPr>
          <w:p>
            <w:pPr>
              <w:jc w:val="center"/>
            </w:pPr>
            <w:r>
              <w:rPr>
                <w:b w:val="false"/>
                <w:bCs w:val="false"/>
                <w:color w:val="000000"/>
                <w:sz w:val="20"/>
                <w:szCs w:val="20"/>
              </w:rPr>
              <w:t xml:space="preserve">10.0</w:t>
            </w:r>
          </w:p>
        </w:tc>
        <w:tc>
          <w:tcPr>
            <w:tcW w:type="dxa" w:w="2000"/>
            <w:vAlign w:val="center"/>
          </w:tcPr>
          <w:p>
            <w:pPr>
              <w:jc w:val="center"/>
            </w:pPr>
            <w:r>
              <w:rPr>
                <w:b w:val="false"/>
                <w:bCs w:val="false"/>
                <w:color w:val="000000"/>
                <w:sz w:val="20"/>
                <w:szCs w:val="20"/>
              </w:rPr>
              <w:t xml:space="preserve">32.67</w:t>
            </w:r>
          </w:p>
        </w:tc>
      </w:tr>
      <w:tr>
        <w:tc>
          <w:tcPr>
            <w:tcW w:type="dxa" w:w="3300"/>
            <w:vAlign w:val="center"/>
          </w:tcPr>
          <w:p>
            <w:pPr>
              <w:jc w:val="center"/>
            </w:pPr>
            <w:r>
              <w:rPr>
                <w:b w:val="false"/>
                <w:bCs w:val="false"/>
                <w:color w:val="000000"/>
                <w:sz w:val="20"/>
                <w:szCs w:val="20"/>
              </w:rPr>
              <w:t xml:space="preserve">Zone D - East</w:t>
            </w:r>
          </w:p>
        </w:tc>
        <w:tc>
          <w:tcPr>
            <w:tcW w:type="dxa" w:w="2000"/>
            <w:vAlign w:val="center"/>
          </w:tcPr>
          <w:p>
            <w:pPr>
              <w:jc w:val="center"/>
            </w:pPr>
            <w:r>
              <w:rPr>
                <w:b w:val="false"/>
                <w:bCs w:val="false"/>
                <w:color w:val="000000"/>
                <w:sz w:val="20"/>
                <w:szCs w:val="20"/>
              </w:rPr>
              <w:t xml:space="preserve">19.79</w:t>
            </w:r>
          </w:p>
        </w:tc>
        <w:tc>
          <w:tcPr>
            <w:tcW w:type="dxa" w:w="2000"/>
            <w:vAlign w:val="center"/>
          </w:tcPr>
          <w:p>
            <w:pPr>
              <w:jc w:val="center"/>
            </w:pPr>
            <w:r>
              <w:rPr>
                <w:b w:val="false"/>
                <w:bCs w:val="false"/>
                <w:color w:val="000000"/>
                <w:sz w:val="20"/>
                <w:szCs w:val="20"/>
              </w:rPr>
              <w:t xml:space="preserve">6.0</w:t>
            </w:r>
          </w:p>
        </w:tc>
        <w:tc>
          <w:tcPr>
            <w:tcW w:type="dxa" w:w="2000"/>
            <w:vAlign w:val="center"/>
          </w:tcPr>
          <w:p>
            <w:pPr>
              <w:jc w:val="center"/>
            </w:pPr>
            <w:r>
              <w:rPr>
                <w:b w:val="false"/>
                <w:bCs w:val="false"/>
                <w:color w:val="000000"/>
                <w:sz w:val="20"/>
                <w:szCs w:val="20"/>
              </w:rPr>
              <w:t xml:space="preserve">32.65</w:t>
            </w:r>
          </w:p>
        </w:tc>
      </w:tr>
      <w:tr>
        <w:tc>
          <w:tcPr>
            <w:tcW w:type="dxa" w:w="3300"/>
            <w:vAlign w:val="center"/>
          </w:tcPr>
          <w:p>
            <w:pPr>
              <w:jc w:val="center"/>
            </w:pPr>
            <w:r>
              <w:rPr>
                <w:b w:val="false"/>
                <w:bCs w:val="false"/>
                <w:color w:val="000000"/>
                <w:sz w:val="20"/>
                <w:szCs w:val="20"/>
              </w:rPr>
              <w:t xml:space="preserve">Zone E - West</w:t>
            </w:r>
          </w:p>
        </w:tc>
        <w:tc>
          <w:tcPr>
            <w:tcW w:type="dxa" w:w="2000"/>
            <w:vAlign w:val="center"/>
          </w:tcPr>
          <w:p>
            <w:pPr>
              <w:jc w:val="center"/>
            </w:pPr>
            <w:r>
              <w:rPr>
                <w:b w:val="false"/>
                <w:bCs w:val="false"/>
                <w:color w:val="000000"/>
                <w:sz w:val="20"/>
                <w:szCs w:val="20"/>
              </w:rPr>
              <w:t xml:space="preserve">19.78</w:t>
            </w:r>
          </w:p>
        </w:tc>
        <w:tc>
          <w:tcPr>
            <w:tcW w:type="dxa" w:w="2000"/>
            <w:vAlign w:val="center"/>
          </w:tcPr>
          <w:p>
            <w:pPr>
              <w:jc w:val="center"/>
            </w:pPr>
            <w:r>
              <w:rPr>
                <w:b w:val="false"/>
                <w:bCs w:val="false"/>
                <w:color w:val="000000"/>
                <w:sz w:val="20"/>
                <w:szCs w:val="20"/>
              </w:rPr>
              <w:t xml:space="preserve">5.0</w:t>
            </w:r>
          </w:p>
        </w:tc>
        <w:tc>
          <w:tcPr>
            <w:tcW w:type="dxa" w:w="2000"/>
            <w:vAlign w:val="center"/>
          </w:tcPr>
          <w:p>
            <w:pPr>
              <w:jc w:val="center"/>
            </w:pPr>
            <w:r>
              <w:rPr>
                <w:b w:val="false"/>
                <w:bCs w:val="false"/>
                <w:color w:val="000000"/>
                <w:sz w:val="20"/>
                <w:szCs w:val="20"/>
              </w:rPr>
              <w:t xml:space="preserve">32.18</w:t>
            </w:r>
          </w:p>
        </w:tc>
      </w:tr>
    </w:tbl>
    <w:p>
      <w:pPr>
        <w:spacing w:after="200"/>
      </w:pPr>
    </w:p>
    <w:p>
      <w:pPr>
        <w:pStyle w:val="Heading1"/>
        <w:spacing w:after="160" w:before="320"/>
      </w:pPr>
      <w:r>
        <w:t xml:space="preserve">6. Analytical Insights &amp; Recommendations</w:t>
      </w:r>
    </w:p>
    <w:p>
      <w:pPr>
        <w:pStyle w:val="Heading2"/>
        <w:spacing w:after="120" w:before="240"/>
      </w:pPr>
      <w:r>
        <w:t xml:space="preserve">6.1 Operational Efficiency</w:t>
      </w:r>
    </w:p>
    <w:p>
      <w:pPr>
        <w:pStyle w:val="ListParagraph"/>
        <w:numPr>
          <w:ilvl w:val="0"/>
          <w:numId w:val="1"/>
        </w:numPr>
        <w:spacing w:after="80"/>
      </w:pPr>
      <w:r>
        <w:t xml:space="preserve">Distance is the single strongest driver of both delivery time (r=0.81) and fuel cost (r=0.82) — route optimization and rider allocation by proximity should be the top efficiency lever.</w:t>
      </w:r>
    </w:p>
    <w:p>
      <w:pPr>
        <w:pStyle w:val="ListParagraph"/>
        <w:numPr>
          <w:ilvl w:val="0"/>
          <w:numId w:val="1"/>
        </w:numPr>
        <w:spacing w:after="80"/>
      </w:pPr>
      <w:r>
        <w:t xml:space="preserve">Motorbikes deliver fastest on average (18.5 min) with the lowest delay rate (5%), making them the best choice for time-critical, longer-distance orders.</w:t>
      </w:r>
    </w:p>
    <w:p>
      <w:pPr>
        <w:pStyle w:val="ListParagraph"/>
        <w:numPr>
          <w:ilvl w:val="0"/>
          <w:numId w:val="1"/>
        </w:numPr>
        <w:spacing w:after="80"/>
      </w:pPr>
      <w:r>
        <w:t xml:space="preserve">E-bikes are ~40% cheaper to run than motorbikes but have the highest delay rate (16%) — best suited for short, non-urgent, low-traffic routes rather than peak-hour central deliveries.</w:t>
      </w:r>
    </w:p>
    <w:p>
      <w:pPr>
        <w:pStyle w:val="Heading2"/>
        <w:spacing w:after="120" w:before="240"/>
      </w:pPr>
      <w:r>
        <w:t xml:space="preserve">6.2 Cost Drivers</w:t>
      </w:r>
    </w:p>
    <w:p>
      <w:pPr>
        <w:pStyle w:val="ListParagraph"/>
        <w:numPr>
          <w:ilvl w:val="0"/>
          <w:numId w:val="1"/>
        </w:numPr>
        <w:spacing w:after="80"/>
      </w:pPr>
      <w:r>
        <w:t xml:space="preserve">Fuel cost and total delivery cost are highly correlated (r=0.86), confirming fuel is the dominant variable cost component versus weight-based surcharges.</w:t>
      </w:r>
    </w:p>
    <w:p>
      <w:pPr>
        <w:pStyle w:val="ListParagraph"/>
        <w:numPr>
          <w:ilvl w:val="0"/>
          <w:numId w:val="1"/>
        </w:numPr>
        <w:spacing w:after="80"/>
      </w:pPr>
      <w:r>
        <w:t xml:space="preserve">Shipment weight has a comparatively minor effect on cost (r=0.17) and almost none on delivery time (r=0.04) — pricing models overly focused on weight may be misallocating cost drivers.</w:t>
      </w:r>
    </w:p>
    <w:p>
      <w:pPr>
        <w:pStyle w:val="Heading2"/>
        <w:spacing w:after="120" w:before="240"/>
      </w:pPr>
      <w:r>
        <w:t xml:space="preserve">6.3 Bottlenecks</w:t>
      </w:r>
    </w:p>
    <w:p>
      <w:pPr>
        <w:pStyle w:val="ListParagraph"/>
        <w:numPr>
          <w:ilvl w:val="0"/>
          <w:numId w:val="1"/>
        </w:numPr>
        <w:spacing w:after="80"/>
      </w:pPr>
      <w:r>
        <w:t xml:space="preserve">Zone A (Central) is the clearest bottleneck: highest delay rate (14%) despite not having the longest average distance, suggesting congestion or an overly aggressive 30-minute SLA rather than a distance problem.</w:t>
      </w:r>
    </w:p>
    <w:p>
      <w:pPr>
        <w:pStyle w:val="ListParagraph"/>
        <w:numPr>
          <w:ilvl w:val="0"/>
          <w:numId w:val="1"/>
        </w:numPr>
        <w:spacing w:after="80"/>
      </w:pPr>
      <w:r>
        <w:t xml:space="preserve">High-traffic conditions increase delivery time by ~49% versus low traffic (24.9 vs 16.7 min) and nearly 6x the delay rate (18% vs 3%) — the single largest controllable operational lever.</w:t>
      </w:r>
    </w:p>
    <w:p>
      <w:pPr>
        <w:pStyle w:val="ListParagraph"/>
        <w:numPr>
          <w:ilvl w:val="0"/>
          <w:numId w:val="1"/>
        </w:numPr>
        <w:spacing w:after="80"/>
      </w:pPr>
      <w:r>
        <w:t xml:space="preserve">Rain conditions increase delivery time by ~32% versus clear weather and roughly triple the delay rate (22% vs 7%), with a measurable drop in customer rating (4.50 vs 4.82).</w:t>
      </w:r>
    </w:p>
    <w:p>
      <w:pPr>
        <w:pStyle w:val="Heading2"/>
        <w:spacing w:after="120" w:before="240"/>
      </w:pPr>
      <w:r>
        <w:t xml:space="preserve">6.4 Recommendations</w:t>
      </w:r>
    </w:p>
    <w:p>
      <w:pPr>
        <w:pStyle w:val="ListParagraph"/>
        <w:numPr>
          <w:ilvl w:val="0"/>
          <w:numId w:val="1"/>
        </w:numPr>
        <w:spacing w:after="80"/>
      </w:pPr>
      <w:r>
        <w:t xml:space="preserve">Re-evaluate the Zone A SLA (currently 30 min) against realistic central-zone traffic patterns, or add rider capacity during peak central-zone hours.</w:t>
      </w:r>
    </w:p>
    <w:p>
      <w:pPr>
        <w:pStyle w:val="ListParagraph"/>
        <w:numPr>
          <w:ilvl w:val="0"/>
          <w:numId w:val="1"/>
        </w:numPr>
        <w:spacing w:after="80"/>
      </w:pPr>
      <w:r>
        <w:t xml:space="preserve">Shift e-bike deployment away from high-traffic central routes toward short suburban routes where their cost advantage does not compromise SLA compliance.</w:t>
      </w:r>
    </w:p>
    <w:p>
      <w:pPr>
        <w:pStyle w:val="ListParagraph"/>
        <w:numPr>
          <w:ilvl w:val="0"/>
          <w:numId w:val="1"/>
        </w:numPr>
        <w:spacing w:after="80"/>
      </w:pPr>
      <w:r>
        <w:t xml:space="preserve">Introduce a dynamic, weather-and-traffic-adjusted SLA so that customer expectations (and rider performance scoring) account for genuinely uncontrollable delay factors.</w:t>
      </w:r>
    </w:p>
    <w:p>
      <w:pPr>
        <w:pStyle w:val="ListParagraph"/>
        <w:numPr>
          <w:ilvl w:val="0"/>
          <w:numId w:val="1"/>
        </w:numPr>
        <w:spacing w:after="80"/>
      </w:pPr>
      <w:r>
        <w:t xml:space="preserve">Use the strong distance-time-cost relationship to build a route-optimization or zone-based rider assignment system that minimizes average trip distance.</w:t>
      </w:r>
    </w:p>
    <w:p>
      <w:pPr>
        <w:pStyle w:val="Heading1"/>
        <w:spacing w:after="160" w:before="320"/>
      </w:pPr>
      <w:r>
        <w:t xml:space="preserve">7. Conclusion</w:t>
      </w:r>
    </w:p>
    <w:p>
      <w:pPr>
        <w:spacing w:after="160"/>
        <w:jc w:val="both"/>
      </w:pPr>
      <w:r>
        <w:t xml:space="preserve">This analysis demonstrates how structured EDA and targeted visualization can convert raw two-wheeler delivery data into clear, actionable operational insight. Distance, traffic, and weather emerged as the dominant, statistically supported drivers of delivery time, cost, and customer satisfaction, while shipment weight played a comparatively minor role. The zone- and vehicle-level breakdowns pinpoint specific, addressable bottlenecks (Zone A congestion, e-bike delay risk) that provide a concrete starting point for operational improvement in a real-world two-wheeler logistics fleet.</w:t>
      </w:r>
    </w:p>
    <w:p>
      <w:pPr>
        <w:pStyle w:val="Heading1"/>
        <w:spacing w:after="160" w:before="320"/>
      </w:pPr>
      <w:r>
        <w:t xml:space="preserve">8. Tools &amp; Methodology Summary</w:t>
      </w:r>
    </w:p>
    <w:p>
      <w:pPr>
        <w:pStyle w:val="ListParagraph"/>
        <w:numPr>
          <w:ilvl w:val="0"/>
          <w:numId w:val="1"/>
        </w:numPr>
        <w:spacing w:after="80"/>
      </w:pPr>
      <w:r>
        <w:t xml:space="preserve">Language: Python 3</w:t>
      </w:r>
    </w:p>
    <w:p>
      <w:pPr>
        <w:pStyle w:val="ListParagraph"/>
        <w:numPr>
          <w:ilvl w:val="0"/>
          <w:numId w:val="1"/>
        </w:numPr>
        <w:spacing w:after="80"/>
      </w:pPr>
      <w:r>
        <w:t xml:space="preserve">Libraries: pandas, numpy (data simulation &amp; analysis), matplotlib, seaborn (visualization)</w:t>
      </w:r>
    </w:p>
    <w:p>
      <w:pPr>
        <w:pStyle w:val="ListParagraph"/>
        <w:numPr>
          <w:ilvl w:val="0"/>
          <w:numId w:val="1"/>
        </w:numPr>
        <w:spacing w:after="80"/>
      </w:pPr>
      <w:r>
        <w:t xml:space="preserve">Techniques: descriptive statistics, skewness analysis, Pearson correlation, group-by aggregation, histogram/boxplot/scatter/heatmap/bar/line/pie visualization</w:t>
      </w:r>
    </w:p>
    <w:p>
      <w:pPr>
        <w:pStyle w:val="ListParagraph"/>
        <w:numPr>
          <w:ilvl w:val="0"/>
          <w:numId w:val="1"/>
        </w:numPr>
        <w:spacing w:after="80"/>
      </w:pPr>
      <w:r>
        <w:t xml:space="preserve">Full source code and dataset are provided in the accompanying scripts/ and data/ folders of this project.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Two-Wheeler Logistics Analysis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ee1fde367967a2a09a35ad7cf93e24f8a4345a.png"/><Relationship Id="rId10" Type="http://schemas.openxmlformats.org/officeDocument/2006/relationships/image" Target="media/327551e88f933411ce4a7a55e875702b4ceb8221.png"/><Relationship Id="rId11" Type="http://schemas.openxmlformats.org/officeDocument/2006/relationships/image" Target="media/89c20848bb788581be8fa3ffb29cd11250314698.png"/><Relationship Id="rId12" Type="http://schemas.openxmlformats.org/officeDocument/2006/relationships/image" Target="media/380cb1862405ab03d83d53b31530adce6097d3ed.png"/><Relationship Id="rId13" Type="http://schemas.openxmlformats.org/officeDocument/2006/relationships/image" Target="media/9de0727330ca0b59fe56e5a115e039ae5c777c95.png"/><Relationship Id="rId14" Type="http://schemas.openxmlformats.org/officeDocument/2006/relationships/image" Target="media/b156e28f60c2165449a5341a37da6015b17b1485.png"/><Relationship Id="rId15" Type="http://schemas.openxmlformats.org/officeDocument/2006/relationships/image" Target="media/c55bebb2ff4d4ee8efd437443fee90d4feeb121e.png"/><Relationship Id="rId16" Type="http://schemas.openxmlformats.org/officeDocument/2006/relationships/image" Target="media/9ea55cf5b3a203094e7e5819e5f1fed50937948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2026-08-26T08:17:43.782Z</dcterms:created>
  <dcterms:modified xsi:type="dcterms:W3CDTF">2026-08-26T08:17:43.795Z</dcterms:modified>
</cp:coreProperties>
</file>

<file path=docProps/custom.xml><?xml version="1.0" encoding="utf-8"?>
<Properties xmlns="http://schemas.openxmlformats.org/officeDocument/2006/custom-properties" xmlns:vt="http://schemas.openxmlformats.org/officeDocument/2006/docPropsVTypes"/>
</file>