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01A55" w14:textId="5BA8DAAE" w:rsidR="00931969" w:rsidRDefault="003C70DE" w:rsidP="003C70DE">
      <w:pPr>
        <w:jc w:val="center"/>
        <w:rPr>
          <w:rFonts w:ascii="Arial" w:hAnsi="Arial" w:cs="Arial"/>
          <w:b/>
          <w:bCs/>
          <w:sz w:val="32"/>
          <w:szCs w:val="32"/>
        </w:rPr>
      </w:pPr>
      <w:r w:rsidRPr="003C70DE">
        <w:rPr>
          <w:rFonts w:ascii="Arial" w:hAnsi="Arial" w:cs="Arial"/>
          <w:b/>
          <w:bCs/>
          <w:sz w:val="32"/>
          <w:szCs w:val="32"/>
        </w:rPr>
        <w:t>Citi Market Quantitative Analysis</w:t>
      </w:r>
    </w:p>
    <w:p w14:paraId="061CA4F1" w14:textId="507BA366" w:rsidR="003C70DE" w:rsidRDefault="003C70DE" w:rsidP="003C70DE">
      <w:pPr>
        <w:rPr>
          <w:rFonts w:ascii="Arial" w:hAnsi="Arial" w:cs="Arial"/>
          <w:b/>
          <w:bCs/>
          <w:sz w:val="28"/>
          <w:szCs w:val="28"/>
        </w:rPr>
      </w:pPr>
      <w:r w:rsidRPr="003C70DE">
        <w:rPr>
          <w:rFonts w:ascii="Arial" w:hAnsi="Arial" w:cs="Arial"/>
          <w:b/>
          <w:bCs/>
          <w:sz w:val="28"/>
          <w:szCs w:val="28"/>
        </w:rPr>
        <w:t>Task 1: Financial math fundamentals and team structure</w:t>
      </w:r>
      <w:r>
        <w:rPr>
          <w:rFonts w:ascii="Arial" w:hAnsi="Arial" w:cs="Arial"/>
          <w:b/>
          <w:bCs/>
          <w:sz w:val="28"/>
          <w:szCs w:val="28"/>
        </w:rPr>
        <w:t>.</w:t>
      </w:r>
    </w:p>
    <w:p w14:paraId="35454A3A" w14:textId="008A78FF" w:rsidR="003C70DE" w:rsidRDefault="003C70DE" w:rsidP="003C70DE">
      <w:pPr>
        <w:rPr>
          <w:rFonts w:ascii="Arial" w:hAnsi="Arial" w:cs="Arial"/>
          <w:b/>
          <w:bCs/>
          <w:sz w:val="24"/>
          <w:szCs w:val="24"/>
        </w:rPr>
      </w:pPr>
      <w:r w:rsidRPr="003C70DE">
        <w:rPr>
          <w:rFonts w:ascii="Arial" w:hAnsi="Arial" w:cs="Arial"/>
          <w:b/>
          <w:bCs/>
          <w:sz w:val="24"/>
          <w:szCs w:val="24"/>
        </w:rPr>
        <w:t>Knowledge Check:</w:t>
      </w:r>
    </w:p>
    <w:p w14:paraId="5C9ADF40" w14:textId="379D6200" w:rsidR="003C70DE" w:rsidRPr="003C70DE" w:rsidRDefault="003C70DE" w:rsidP="003C70DE">
      <w:pPr>
        <w:jc w:val="both"/>
        <w:rPr>
          <w:rFonts w:ascii="Arial" w:hAnsi="Arial" w:cs="Arial"/>
          <w:sz w:val="24"/>
          <w:szCs w:val="24"/>
        </w:rPr>
      </w:pPr>
      <w:r w:rsidRPr="003C70DE">
        <w:rPr>
          <w:rFonts w:ascii="Arial" w:hAnsi="Arial" w:cs="Arial"/>
          <w:sz w:val="24"/>
          <w:szCs w:val="24"/>
        </w:rPr>
        <w:t xml:space="preserve">Based on </w:t>
      </w:r>
      <w:r>
        <w:rPr>
          <w:rFonts w:ascii="Arial" w:hAnsi="Arial" w:cs="Arial"/>
          <w:sz w:val="24"/>
          <w:szCs w:val="24"/>
        </w:rPr>
        <w:t xml:space="preserve">the </w:t>
      </w:r>
      <w:r w:rsidRPr="003C70DE">
        <w:rPr>
          <w:rFonts w:ascii="Arial" w:hAnsi="Arial" w:cs="Arial"/>
          <w:sz w:val="24"/>
          <w:szCs w:val="24"/>
        </w:rPr>
        <w:t>learn</w:t>
      </w:r>
      <w:r>
        <w:rPr>
          <w:rFonts w:ascii="Arial" w:hAnsi="Arial" w:cs="Arial"/>
          <w:sz w:val="24"/>
          <w:szCs w:val="24"/>
        </w:rPr>
        <w:t xml:space="preserve">ing </w:t>
      </w:r>
      <w:r w:rsidRPr="003C70DE">
        <w:rPr>
          <w:rFonts w:ascii="Arial" w:hAnsi="Arial" w:cs="Arial"/>
          <w:sz w:val="24"/>
          <w:szCs w:val="24"/>
        </w:rPr>
        <w:t xml:space="preserve">about the different asset classes, explain how you would approach </w:t>
      </w:r>
      <w:r w:rsidRPr="003C70DE">
        <w:rPr>
          <w:rFonts w:ascii="Arial" w:hAnsi="Arial" w:cs="Arial"/>
          <w:sz w:val="24"/>
          <w:szCs w:val="24"/>
        </w:rPr>
        <w:t>analysing</w:t>
      </w:r>
      <w:r w:rsidRPr="003C70DE">
        <w:rPr>
          <w:rFonts w:ascii="Arial" w:hAnsi="Arial" w:cs="Arial"/>
          <w:sz w:val="24"/>
          <w:szCs w:val="24"/>
        </w:rPr>
        <w:t xml:space="preserve"> and managing an investment in one of these asset classes. Describe the key factors you would consider, the quantitative methods you would use, and how you would apply these techniques to ensure effective risk management and optimize returns.</w:t>
      </w:r>
    </w:p>
    <w:p w14:paraId="3C737DE8" w14:textId="77777777" w:rsidR="003C70DE" w:rsidRPr="003C70DE" w:rsidRDefault="003C70DE" w:rsidP="003C70DE">
      <w:pPr>
        <w:jc w:val="both"/>
        <w:rPr>
          <w:rFonts w:ascii="Arial" w:hAnsi="Arial" w:cs="Arial"/>
          <w:sz w:val="24"/>
          <w:szCs w:val="24"/>
        </w:rPr>
      </w:pPr>
      <w:r w:rsidRPr="003C70DE">
        <w:rPr>
          <w:rFonts w:ascii="Arial" w:hAnsi="Arial" w:cs="Arial"/>
          <w:sz w:val="24"/>
          <w:szCs w:val="24"/>
        </w:rPr>
        <w:t>By completing this task, you will demonstrate your understanding of various asset classes and the quantitative techniques used to analyze and manage them, preparing you for more advanced topics and practical applications in the world of quantitative analysis.</w:t>
      </w:r>
    </w:p>
    <w:p w14:paraId="5B51A6A9" w14:textId="7F3CFDCD" w:rsidR="003C70DE" w:rsidRDefault="003C70DE" w:rsidP="003C70DE">
      <w:pPr>
        <w:jc w:val="both"/>
        <w:rPr>
          <w:rFonts w:ascii="Arial" w:hAnsi="Arial" w:cs="Arial"/>
          <w:b/>
          <w:bCs/>
          <w:sz w:val="24"/>
          <w:szCs w:val="24"/>
        </w:rPr>
      </w:pPr>
      <w:r w:rsidRPr="003C70DE">
        <w:rPr>
          <w:rFonts w:ascii="Arial" w:hAnsi="Arial" w:cs="Arial"/>
          <w:b/>
          <w:bCs/>
          <w:sz w:val="24"/>
          <w:szCs w:val="24"/>
        </w:rPr>
        <w:t xml:space="preserve">Answer: </w:t>
      </w:r>
    </w:p>
    <w:p w14:paraId="25AF7039" w14:textId="366339EA" w:rsidR="003C70DE" w:rsidRPr="003C70DE" w:rsidRDefault="003C70DE" w:rsidP="003C70DE">
      <w:pPr>
        <w:jc w:val="both"/>
        <w:rPr>
          <w:rFonts w:ascii="Arial" w:hAnsi="Arial" w:cs="Arial"/>
          <w:b/>
          <w:bCs/>
          <w:sz w:val="24"/>
          <w:szCs w:val="24"/>
        </w:rPr>
      </w:pPr>
      <w:r w:rsidRPr="003C70DE">
        <w:rPr>
          <w:rFonts w:ascii="Arial" w:hAnsi="Arial" w:cs="Arial"/>
          <w:b/>
          <w:bCs/>
          <w:sz w:val="24"/>
          <w:szCs w:val="24"/>
        </w:rPr>
        <w:t xml:space="preserve">My Approach to </w:t>
      </w:r>
      <w:r w:rsidRPr="003C70DE">
        <w:rPr>
          <w:rFonts w:ascii="Arial" w:hAnsi="Arial" w:cs="Arial"/>
          <w:b/>
          <w:bCs/>
          <w:sz w:val="24"/>
          <w:szCs w:val="24"/>
        </w:rPr>
        <w:t>Analysing</w:t>
      </w:r>
      <w:r w:rsidRPr="003C70DE">
        <w:rPr>
          <w:rFonts w:ascii="Arial" w:hAnsi="Arial" w:cs="Arial"/>
          <w:b/>
          <w:bCs/>
          <w:sz w:val="24"/>
          <w:szCs w:val="24"/>
        </w:rPr>
        <w:t xml:space="preserve"> and Managing an Investment in Equity Derivatives </w:t>
      </w:r>
    </w:p>
    <w:p w14:paraId="567102B6" w14:textId="72BEF4BB" w:rsidR="003C70DE" w:rsidRPr="003C70DE" w:rsidRDefault="003C70DE" w:rsidP="003C70DE">
      <w:pPr>
        <w:jc w:val="both"/>
        <w:rPr>
          <w:rFonts w:ascii="Arial" w:hAnsi="Arial" w:cs="Arial"/>
          <w:sz w:val="24"/>
          <w:szCs w:val="24"/>
        </w:rPr>
      </w:pPr>
      <w:r w:rsidRPr="003C70DE">
        <w:rPr>
          <w:rFonts w:ascii="Arial" w:hAnsi="Arial" w:cs="Arial"/>
          <w:sz w:val="24"/>
          <w:szCs w:val="24"/>
        </w:rPr>
        <w:t xml:space="preserve">As a quantitative analyst at Citi's Derivatives Markets desk, I would approach </w:t>
      </w:r>
      <w:r w:rsidRPr="003C70DE">
        <w:rPr>
          <w:rFonts w:ascii="Arial" w:hAnsi="Arial" w:cs="Arial"/>
          <w:sz w:val="24"/>
          <w:szCs w:val="24"/>
        </w:rPr>
        <w:t>analysing</w:t>
      </w:r>
      <w:r w:rsidRPr="003C70DE">
        <w:rPr>
          <w:rFonts w:ascii="Arial" w:hAnsi="Arial" w:cs="Arial"/>
          <w:sz w:val="24"/>
          <w:szCs w:val="24"/>
        </w:rPr>
        <w:t xml:space="preserve"> equity options with a focus on precise pricing, dynamic hedging, and identifying relative value opportunities. </w:t>
      </w:r>
      <w:r w:rsidRPr="003C70DE">
        <w:rPr>
          <w:rFonts w:ascii="Arial" w:hAnsi="Arial" w:cs="Arial"/>
          <w:sz w:val="24"/>
          <w:szCs w:val="24"/>
        </w:rPr>
        <w:t>Here is</w:t>
      </w:r>
      <w:r w:rsidRPr="003C70DE">
        <w:rPr>
          <w:rFonts w:ascii="Arial" w:hAnsi="Arial" w:cs="Arial"/>
          <w:sz w:val="24"/>
          <w:szCs w:val="24"/>
        </w:rPr>
        <w:t xml:space="preserve"> my structured methodology:</w:t>
      </w:r>
    </w:p>
    <w:p w14:paraId="4881EF50" w14:textId="77777777" w:rsidR="003C70DE" w:rsidRPr="003C70DE" w:rsidRDefault="003C70DE" w:rsidP="003C70DE">
      <w:pPr>
        <w:jc w:val="both"/>
        <w:rPr>
          <w:rFonts w:ascii="Arial" w:hAnsi="Arial" w:cs="Arial"/>
          <w:b/>
          <w:bCs/>
          <w:sz w:val="24"/>
          <w:szCs w:val="24"/>
        </w:rPr>
      </w:pPr>
      <w:r w:rsidRPr="003C70DE">
        <w:rPr>
          <w:rFonts w:ascii="Arial" w:hAnsi="Arial" w:cs="Arial"/>
          <w:b/>
          <w:bCs/>
          <w:sz w:val="24"/>
          <w:szCs w:val="24"/>
        </w:rPr>
        <w:t>Key Factors I Would Consider:</w:t>
      </w:r>
    </w:p>
    <w:p w14:paraId="3BC698D2" w14:textId="77777777" w:rsidR="003C70DE" w:rsidRPr="003C70DE" w:rsidRDefault="003C70DE" w:rsidP="003C70DE">
      <w:pPr>
        <w:jc w:val="both"/>
        <w:rPr>
          <w:rFonts w:ascii="Arial" w:hAnsi="Arial" w:cs="Arial"/>
          <w:sz w:val="24"/>
          <w:szCs w:val="24"/>
        </w:rPr>
      </w:pPr>
      <w:r w:rsidRPr="003C70DE">
        <w:rPr>
          <w:rFonts w:ascii="Arial" w:hAnsi="Arial" w:cs="Arial"/>
          <w:b/>
          <w:bCs/>
          <w:sz w:val="24"/>
          <w:szCs w:val="24"/>
        </w:rPr>
        <w:t>Volatility Dynamics:</w:t>
      </w:r>
      <w:r w:rsidRPr="003C70DE">
        <w:rPr>
          <w:rFonts w:ascii="Arial" w:hAnsi="Arial" w:cs="Arial"/>
          <w:sz w:val="24"/>
          <w:szCs w:val="24"/>
        </w:rPr>
        <w:t xml:space="preserve"> Both historical and implied volatility patterns across strikes and expiries (the volatility surface)</w:t>
      </w:r>
    </w:p>
    <w:p w14:paraId="4CE17213" w14:textId="77777777" w:rsidR="003C70DE" w:rsidRPr="003C70DE" w:rsidRDefault="003C70DE" w:rsidP="003C70DE">
      <w:pPr>
        <w:jc w:val="both"/>
        <w:rPr>
          <w:rFonts w:ascii="Arial" w:hAnsi="Arial" w:cs="Arial"/>
          <w:sz w:val="24"/>
          <w:szCs w:val="24"/>
        </w:rPr>
      </w:pPr>
      <w:r w:rsidRPr="003C70DE">
        <w:rPr>
          <w:rFonts w:ascii="Arial" w:hAnsi="Arial" w:cs="Arial"/>
          <w:b/>
          <w:bCs/>
          <w:sz w:val="24"/>
          <w:szCs w:val="24"/>
        </w:rPr>
        <w:t>Option Greeks:</w:t>
      </w:r>
      <w:r w:rsidRPr="003C70DE">
        <w:rPr>
          <w:rFonts w:ascii="Arial" w:hAnsi="Arial" w:cs="Arial"/>
          <w:sz w:val="24"/>
          <w:szCs w:val="24"/>
        </w:rPr>
        <w:t xml:space="preserve"> Delta (price sensitivity), Gamma (delta change), Vega (volatility sensitivity), and Theta (time decay)</w:t>
      </w:r>
    </w:p>
    <w:p w14:paraId="7FE22F2C" w14:textId="77777777" w:rsidR="003C70DE" w:rsidRPr="003C70DE" w:rsidRDefault="003C70DE" w:rsidP="003C70DE">
      <w:pPr>
        <w:jc w:val="both"/>
        <w:rPr>
          <w:rFonts w:ascii="Arial" w:hAnsi="Arial" w:cs="Arial"/>
          <w:sz w:val="24"/>
          <w:szCs w:val="24"/>
        </w:rPr>
      </w:pPr>
      <w:r w:rsidRPr="003C70DE">
        <w:rPr>
          <w:rFonts w:ascii="Arial" w:hAnsi="Arial" w:cs="Arial"/>
          <w:b/>
          <w:bCs/>
          <w:sz w:val="24"/>
          <w:szCs w:val="24"/>
        </w:rPr>
        <w:t xml:space="preserve">Market Microstructure: </w:t>
      </w:r>
      <w:r w:rsidRPr="003C70DE">
        <w:rPr>
          <w:rFonts w:ascii="Arial" w:hAnsi="Arial" w:cs="Arial"/>
          <w:sz w:val="24"/>
          <w:szCs w:val="24"/>
        </w:rPr>
        <w:t>Liquidity, bid-ask spreads, and transaction costs</w:t>
      </w:r>
    </w:p>
    <w:p w14:paraId="233896E2" w14:textId="77777777" w:rsidR="003C70DE" w:rsidRPr="003C70DE" w:rsidRDefault="003C70DE" w:rsidP="003C70DE">
      <w:pPr>
        <w:jc w:val="both"/>
        <w:rPr>
          <w:rFonts w:ascii="Arial" w:hAnsi="Arial" w:cs="Arial"/>
          <w:sz w:val="24"/>
          <w:szCs w:val="24"/>
        </w:rPr>
      </w:pPr>
      <w:r w:rsidRPr="003C70DE">
        <w:rPr>
          <w:rFonts w:ascii="Arial" w:hAnsi="Arial" w:cs="Arial"/>
          <w:b/>
          <w:bCs/>
          <w:sz w:val="24"/>
          <w:szCs w:val="24"/>
        </w:rPr>
        <w:t>Model Risk:</w:t>
      </w:r>
      <w:r w:rsidRPr="003C70DE">
        <w:rPr>
          <w:rFonts w:ascii="Arial" w:hAnsi="Arial" w:cs="Arial"/>
          <w:sz w:val="24"/>
          <w:szCs w:val="24"/>
        </w:rPr>
        <w:t xml:space="preserve"> Ensuring our pricing models accurately reflect market realities</w:t>
      </w:r>
    </w:p>
    <w:p w14:paraId="4D012528" w14:textId="77777777" w:rsidR="003C70DE" w:rsidRPr="003C70DE" w:rsidRDefault="003C70DE" w:rsidP="003C70DE">
      <w:pPr>
        <w:jc w:val="both"/>
        <w:rPr>
          <w:rFonts w:ascii="Arial" w:hAnsi="Arial" w:cs="Arial"/>
          <w:sz w:val="24"/>
          <w:szCs w:val="24"/>
        </w:rPr>
      </w:pPr>
      <w:r w:rsidRPr="003C70DE">
        <w:rPr>
          <w:rFonts w:ascii="Arial" w:hAnsi="Arial" w:cs="Arial"/>
          <w:b/>
          <w:bCs/>
          <w:sz w:val="24"/>
          <w:szCs w:val="24"/>
        </w:rPr>
        <w:t>Underlying Asset Behavior:</w:t>
      </w:r>
      <w:r w:rsidRPr="003C70DE">
        <w:rPr>
          <w:rFonts w:ascii="Arial" w:hAnsi="Arial" w:cs="Arial"/>
          <w:sz w:val="24"/>
          <w:szCs w:val="24"/>
        </w:rPr>
        <w:t xml:space="preserve"> The dynamics of the S&amp;P 500 index or specific stocks</w:t>
      </w:r>
    </w:p>
    <w:p w14:paraId="3FFB4D31" w14:textId="77777777" w:rsidR="003C70DE" w:rsidRPr="003C70DE" w:rsidRDefault="003C70DE" w:rsidP="003C70DE">
      <w:pPr>
        <w:jc w:val="both"/>
        <w:rPr>
          <w:rFonts w:ascii="Arial" w:hAnsi="Arial" w:cs="Arial"/>
          <w:b/>
          <w:bCs/>
          <w:sz w:val="24"/>
          <w:szCs w:val="24"/>
        </w:rPr>
      </w:pPr>
      <w:r w:rsidRPr="003C70DE">
        <w:rPr>
          <w:rFonts w:ascii="Arial" w:hAnsi="Arial" w:cs="Arial"/>
          <w:b/>
          <w:bCs/>
          <w:sz w:val="24"/>
          <w:szCs w:val="24"/>
        </w:rPr>
        <w:t>Quantitative Methods I Would Employ:</w:t>
      </w:r>
    </w:p>
    <w:p w14:paraId="26CD2C97" w14:textId="77777777" w:rsidR="003C70DE" w:rsidRPr="003C70DE" w:rsidRDefault="003C70DE" w:rsidP="003C70DE">
      <w:pPr>
        <w:jc w:val="both"/>
        <w:rPr>
          <w:rFonts w:ascii="Arial" w:hAnsi="Arial" w:cs="Arial"/>
          <w:b/>
          <w:bCs/>
          <w:sz w:val="24"/>
          <w:szCs w:val="24"/>
        </w:rPr>
      </w:pPr>
      <w:r w:rsidRPr="003C70DE">
        <w:rPr>
          <w:rFonts w:ascii="Arial" w:hAnsi="Arial" w:cs="Arial"/>
          <w:b/>
          <w:bCs/>
          <w:sz w:val="24"/>
          <w:szCs w:val="24"/>
        </w:rPr>
        <w:t>1. Pricing Framework:</w:t>
      </w:r>
    </w:p>
    <w:p w14:paraId="283463E4" w14:textId="77777777" w:rsidR="003C70DE" w:rsidRPr="003C70DE" w:rsidRDefault="003C70DE" w:rsidP="003C70DE">
      <w:pPr>
        <w:jc w:val="both"/>
        <w:rPr>
          <w:rFonts w:ascii="Arial" w:hAnsi="Arial" w:cs="Arial"/>
          <w:sz w:val="24"/>
          <w:szCs w:val="24"/>
        </w:rPr>
      </w:pPr>
      <w:r w:rsidRPr="003C70DE">
        <w:rPr>
          <w:rFonts w:ascii="Arial" w:hAnsi="Arial" w:cs="Arial"/>
          <w:sz w:val="24"/>
          <w:szCs w:val="24"/>
        </w:rPr>
        <w:t xml:space="preserve">Use </w:t>
      </w:r>
      <w:r w:rsidRPr="003C70DE">
        <w:rPr>
          <w:rFonts w:ascii="Arial" w:hAnsi="Arial" w:cs="Arial"/>
          <w:b/>
          <w:bCs/>
          <w:sz w:val="24"/>
          <w:szCs w:val="24"/>
        </w:rPr>
        <w:t>Black-Scholes-Merton</w:t>
      </w:r>
      <w:r w:rsidRPr="003C70DE">
        <w:rPr>
          <w:rFonts w:ascii="Arial" w:hAnsi="Arial" w:cs="Arial"/>
          <w:sz w:val="24"/>
          <w:szCs w:val="24"/>
        </w:rPr>
        <w:t xml:space="preserve"> as the foundational model for vanilla options</w:t>
      </w:r>
    </w:p>
    <w:p w14:paraId="7CE8DCCB" w14:textId="77777777" w:rsidR="003C70DE" w:rsidRPr="003C70DE" w:rsidRDefault="003C70DE" w:rsidP="003C70DE">
      <w:pPr>
        <w:jc w:val="both"/>
        <w:rPr>
          <w:rFonts w:ascii="Arial" w:hAnsi="Arial" w:cs="Arial"/>
          <w:sz w:val="24"/>
          <w:szCs w:val="24"/>
        </w:rPr>
      </w:pPr>
      <w:r w:rsidRPr="003C70DE">
        <w:rPr>
          <w:rFonts w:ascii="Arial" w:hAnsi="Arial" w:cs="Arial"/>
          <w:sz w:val="24"/>
          <w:szCs w:val="24"/>
        </w:rPr>
        <w:t xml:space="preserve">Implement </w:t>
      </w:r>
      <w:r w:rsidRPr="003C70DE">
        <w:rPr>
          <w:rFonts w:ascii="Arial" w:hAnsi="Arial" w:cs="Arial"/>
          <w:b/>
          <w:bCs/>
          <w:sz w:val="24"/>
          <w:szCs w:val="24"/>
        </w:rPr>
        <w:t>Heston's stochastic volatility model</w:t>
      </w:r>
      <w:r w:rsidRPr="003C70DE">
        <w:rPr>
          <w:rFonts w:ascii="Arial" w:hAnsi="Arial" w:cs="Arial"/>
          <w:sz w:val="24"/>
          <w:szCs w:val="24"/>
        </w:rPr>
        <w:t xml:space="preserve"> for more accurate pricing, especially for longer-dated options or those showing volatility smiles</w:t>
      </w:r>
    </w:p>
    <w:p w14:paraId="0C6B5614" w14:textId="77777777" w:rsidR="003C70DE" w:rsidRPr="003C70DE" w:rsidRDefault="003C70DE" w:rsidP="003C70DE">
      <w:pPr>
        <w:jc w:val="both"/>
        <w:rPr>
          <w:rFonts w:ascii="Arial" w:hAnsi="Arial" w:cs="Arial"/>
          <w:sz w:val="24"/>
          <w:szCs w:val="24"/>
        </w:rPr>
      </w:pPr>
      <w:r w:rsidRPr="003C70DE">
        <w:rPr>
          <w:rFonts w:ascii="Arial" w:hAnsi="Arial" w:cs="Arial"/>
          <w:sz w:val="24"/>
          <w:szCs w:val="24"/>
        </w:rPr>
        <w:t xml:space="preserve">Apply </w:t>
      </w:r>
      <w:r w:rsidRPr="003C70DE">
        <w:rPr>
          <w:rFonts w:ascii="Arial" w:hAnsi="Arial" w:cs="Arial"/>
          <w:b/>
          <w:bCs/>
          <w:sz w:val="24"/>
          <w:szCs w:val="24"/>
        </w:rPr>
        <w:t>Monte Carlo simulations</w:t>
      </w:r>
      <w:r w:rsidRPr="003C70DE">
        <w:rPr>
          <w:rFonts w:ascii="Arial" w:hAnsi="Arial" w:cs="Arial"/>
          <w:sz w:val="24"/>
          <w:szCs w:val="24"/>
        </w:rPr>
        <w:t xml:space="preserve"> for path-dependent exotic options</w:t>
      </w:r>
    </w:p>
    <w:p w14:paraId="0CD1FA56" w14:textId="77777777" w:rsidR="003C70DE" w:rsidRPr="003C70DE" w:rsidRDefault="003C70DE" w:rsidP="003C70DE">
      <w:pPr>
        <w:jc w:val="both"/>
        <w:rPr>
          <w:rFonts w:ascii="Arial" w:hAnsi="Arial" w:cs="Arial"/>
          <w:b/>
          <w:bCs/>
          <w:sz w:val="24"/>
          <w:szCs w:val="24"/>
        </w:rPr>
      </w:pPr>
      <w:r w:rsidRPr="003C70DE">
        <w:rPr>
          <w:rFonts w:ascii="Arial" w:hAnsi="Arial" w:cs="Arial"/>
          <w:b/>
          <w:bCs/>
          <w:sz w:val="24"/>
          <w:szCs w:val="24"/>
        </w:rPr>
        <w:t>2</w:t>
      </w:r>
      <w:r w:rsidRPr="003C70DE">
        <w:rPr>
          <w:rFonts w:ascii="Arial" w:hAnsi="Arial" w:cs="Arial"/>
          <w:sz w:val="24"/>
          <w:szCs w:val="24"/>
        </w:rPr>
        <w:t xml:space="preserve">. </w:t>
      </w:r>
      <w:r w:rsidRPr="003C70DE">
        <w:rPr>
          <w:rFonts w:ascii="Arial" w:hAnsi="Arial" w:cs="Arial"/>
          <w:b/>
          <w:bCs/>
          <w:sz w:val="24"/>
          <w:szCs w:val="24"/>
        </w:rPr>
        <w:t>Volatility Analysis:</w:t>
      </w:r>
    </w:p>
    <w:p w14:paraId="6E7D6A24" w14:textId="77777777" w:rsidR="003C70DE" w:rsidRPr="003C70DE" w:rsidRDefault="003C70DE" w:rsidP="003C70DE">
      <w:pPr>
        <w:jc w:val="both"/>
        <w:rPr>
          <w:rFonts w:ascii="Arial" w:hAnsi="Arial" w:cs="Arial"/>
          <w:sz w:val="24"/>
          <w:szCs w:val="24"/>
        </w:rPr>
      </w:pPr>
      <w:r w:rsidRPr="003C70DE">
        <w:rPr>
          <w:rFonts w:ascii="Arial" w:hAnsi="Arial" w:cs="Arial"/>
          <w:sz w:val="24"/>
          <w:szCs w:val="24"/>
        </w:rPr>
        <w:t>Calibrate models daily to the live volatility surface using optimization algorithms</w:t>
      </w:r>
    </w:p>
    <w:p w14:paraId="5C5DCA0F" w14:textId="77777777" w:rsidR="003C70DE" w:rsidRPr="003C70DE" w:rsidRDefault="003C70DE" w:rsidP="003C70DE">
      <w:pPr>
        <w:jc w:val="both"/>
        <w:rPr>
          <w:rFonts w:ascii="Arial" w:hAnsi="Arial" w:cs="Arial"/>
          <w:sz w:val="24"/>
          <w:szCs w:val="24"/>
        </w:rPr>
      </w:pPr>
      <w:r w:rsidRPr="003C70DE">
        <w:rPr>
          <w:rFonts w:ascii="Arial" w:hAnsi="Arial" w:cs="Arial"/>
          <w:sz w:val="24"/>
          <w:szCs w:val="24"/>
        </w:rPr>
        <w:t>Analyze the term structure of volatility and skew patterns to identify market dislocations</w:t>
      </w:r>
    </w:p>
    <w:p w14:paraId="151D7958" w14:textId="77777777" w:rsidR="003C70DE" w:rsidRPr="003C70DE" w:rsidRDefault="003C70DE" w:rsidP="003C70DE">
      <w:pPr>
        <w:jc w:val="both"/>
        <w:rPr>
          <w:rFonts w:ascii="Arial" w:hAnsi="Arial" w:cs="Arial"/>
          <w:sz w:val="24"/>
          <w:szCs w:val="24"/>
        </w:rPr>
      </w:pPr>
      <w:r w:rsidRPr="003C70DE">
        <w:rPr>
          <w:rFonts w:ascii="Arial" w:hAnsi="Arial" w:cs="Arial"/>
          <w:sz w:val="24"/>
          <w:szCs w:val="24"/>
        </w:rPr>
        <w:lastRenderedPageBreak/>
        <w:t>Compare implied volatility versus forecasted realized volatility to spot trading opportunities</w:t>
      </w:r>
    </w:p>
    <w:p w14:paraId="26C4DAEB" w14:textId="77777777" w:rsidR="003C70DE" w:rsidRPr="003C70DE" w:rsidRDefault="003C70DE" w:rsidP="003C70DE">
      <w:pPr>
        <w:jc w:val="both"/>
        <w:rPr>
          <w:rFonts w:ascii="Arial" w:hAnsi="Arial" w:cs="Arial"/>
          <w:b/>
          <w:bCs/>
          <w:sz w:val="24"/>
          <w:szCs w:val="24"/>
        </w:rPr>
      </w:pPr>
      <w:r w:rsidRPr="003C70DE">
        <w:rPr>
          <w:rFonts w:ascii="Arial" w:hAnsi="Arial" w:cs="Arial"/>
          <w:b/>
          <w:bCs/>
          <w:sz w:val="24"/>
          <w:szCs w:val="24"/>
        </w:rPr>
        <w:t>3. Risk Analytics:</w:t>
      </w:r>
    </w:p>
    <w:p w14:paraId="690F3AD1" w14:textId="77777777" w:rsidR="003C70DE" w:rsidRPr="003C70DE" w:rsidRDefault="003C70DE" w:rsidP="003C70DE">
      <w:pPr>
        <w:jc w:val="both"/>
        <w:rPr>
          <w:rFonts w:ascii="Arial" w:hAnsi="Arial" w:cs="Arial"/>
          <w:sz w:val="24"/>
          <w:szCs w:val="24"/>
        </w:rPr>
      </w:pPr>
      <w:r w:rsidRPr="003C70DE">
        <w:rPr>
          <w:rFonts w:ascii="Arial" w:hAnsi="Arial" w:cs="Arial"/>
          <w:sz w:val="24"/>
          <w:szCs w:val="24"/>
        </w:rPr>
        <w:t>Calculate complete Greek exposures (Delta, Gamma, Vega, Theta, Rho) across the portfolio</w:t>
      </w:r>
    </w:p>
    <w:p w14:paraId="08504EC7" w14:textId="77777777" w:rsidR="003C70DE" w:rsidRPr="003C70DE" w:rsidRDefault="003C70DE" w:rsidP="003C70DE">
      <w:pPr>
        <w:jc w:val="both"/>
        <w:rPr>
          <w:rFonts w:ascii="Arial" w:hAnsi="Arial" w:cs="Arial"/>
          <w:sz w:val="24"/>
          <w:szCs w:val="24"/>
        </w:rPr>
      </w:pPr>
      <w:r w:rsidRPr="003C70DE">
        <w:rPr>
          <w:rFonts w:ascii="Arial" w:hAnsi="Arial" w:cs="Arial"/>
          <w:sz w:val="24"/>
          <w:szCs w:val="24"/>
        </w:rPr>
        <w:t xml:space="preserve">Perform </w:t>
      </w:r>
      <w:r w:rsidRPr="003C70DE">
        <w:rPr>
          <w:rFonts w:ascii="Arial" w:hAnsi="Arial" w:cs="Arial"/>
          <w:b/>
          <w:bCs/>
          <w:sz w:val="24"/>
          <w:szCs w:val="24"/>
        </w:rPr>
        <w:t>Principal Component Analysis (PCA)</w:t>
      </w:r>
      <w:r w:rsidRPr="003C70DE">
        <w:rPr>
          <w:rFonts w:ascii="Arial" w:hAnsi="Arial" w:cs="Arial"/>
          <w:sz w:val="24"/>
          <w:szCs w:val="24"/>
        </w:rPr>
        <w:t xml:space="preserve"> on volatility surfaces to understand key risk factors</w:t>
      </w:r>
    </w:p>
    <w:p w14:paraId="0BEADC86" w14:textId="77777777" w:rsidR="003C70DE" w:rsidRPr="003C70DE" w:rsidRDefault="003C70DE" w:rsidP="003C70DE">
      <w:pPr>
        <w:jc w:val="both"/>
        <w:rPr>
          <w:rFonts w:ascii="Arial" w:hAnsi="Arial" w:cs="Arial"/>
          <w:sz w:val="24"/>
          <w:szCs w:val="24"/>
        </w:rPr>
      </w:pPr>
      <w:r w:rsidRPr="003C70DE">
        <w:rPr>
          <w:rFonts w:ascii="Arial" w:hAnsi="Arial" w:cs="Arial"/>
          <w:sz w:val="24"/>
          <w:szCs w:val="24"/>
        </w:rPr>
        <w:t xml:space="preserve">Implement </w:t>
      </w:r>
      <w:r w:rsidRPr="003C70DE">
        <w:rPr>
          <w:rFonts w:ascii="Arial" w:hAnsi="Arial" w:cs="Arial"/>
          <w:b/>
          <w:bCs/>
          <w:sz w:val="24"/>
          <w:szCs w:val="24"/>
        </w:rPr>
        <w:t>sensitivity analysis</w:t>
      </w:r>
      <w:r w:rsidRPr="003C70DE">
        <w:rPr>
          <w:rFonts w:ascii="Arial" w:hAnsi="Arial" w:cs="Arial"/>
          <w:sz w:val="24"/>
          <w:szCs w:val="24"/>
        </w:rPr>
        <w:t xml:space="preserve"> to see how parameter changes affect pricing</w:t>
      </w:r>
    </w:p>
    <w:p w14:paraId="4C1AA4F2" w14:textId="77777777" w:rsidR="003C70DE" w:rsidRPr="003C70DE" w:rsidRDefault="003C70DE" w:rsidP="003C70DE">
      <w:pPr>
        <w:jc w:val="both"/>
        <w:rPr>
          <w:rFonts w:ascii="Arial" w:hAnsi="Arial" w:cs="Arial"/>
          <w:b/>
          <w:bCs/>
          <w:sz w:val="24"/>
          <w:szCs w:val="24"/>
        </w:rPr>
      </w:pPr>
      <w:r w:rsidRPr="003C70DE">
        <w:rPr>
          <w:rFonts w:ascii="Arial" w:hAnsi="Arial" w:cs="Arial"/>
          <w:b/>
          <w:bCs/>
          <w:sz w:val="24"/>
          <w:szCs w:val="24"/>
        </w:rPr>
        <w:t>Applying These Techniques for Risk Management:</w:t>
      </w:r>
    </w:p>
    <w:p w14:paraId="3536AE75" w14:textId="77777777" w:rsidR="003C70DE" w:rsidRPr="003C70DE" w:rsidRDefault="003C70DE" w:rsidP="003C70DE">
      <w:pPr>
        <w:jc w:val="both"/>
        <w:rPr>
          <w:rFonts w:ascii="Arial" w:hAnsi="Arial" w:cs="Arial"/>
          <w:b/>
          <w:bCs/>
          <w:sz w:val="24"/>
          <w:szCs w:val="24"/>
        </w:rPr>
      </w:pPr>
      <w:r w:rsidRPr="003C70DE">
        <w:rPr>
          <w:rFonts w:ascii="Arial" w:hAnsi="Arial" w:cs="Arial"/>
          <w:b/>
          <w:bCs/>
          <w:sz w:val="24"/>
          <w:szCs w:val="24"/>
        </w:rPr>
        <w:t>Dynamic Hedging Strategy:</w:t>
      </w:r>
    </w:p>
    <w:p w14:paraId="0DCF907B" w14:textId="77777777" w:rsidR="003C70DE" w:rsidRPr="003C70DE" w:rsidRDefault="003C70DE" w:rsidP="003C70DE">
      <w:pPr>
        <w:jc w:val="both"/>
        <w:rPr>
          <w:rFonts w:ascii="Arial" w:hAnsi="Arial" w:cs="Arial"/>
          <w:sz w:val="24"/>
          <w:szCs w:val="24"/>
        </w:rPr>
      </w:pPr>
      <w:r w:rsidRPr="003C70DE">
        <w:rPr>
          <w:rFonts w:ascii="Arial" w:hAnsi="Arial" w:cs="Arial"/>
          <w:sz w:val="24"/>
          <w:szCs w:val="24"/>
        </w:rPr>
        <w:t xml:space="preserve">Use </w:t>
      </w:r>
      <w:r w:rsidRPr="003C70DE">
        <w:rPr>
          <w:rFonts w:ascii="Arial" w:hAnsi="Arial" w:cs="Arial"/>
          <w:b/>
          <w:bCs/>
          <w:sz w:val="24"/>
          <w:szCs w:val="24"/>
        </w:rPr>
        <w:t>Delta hedging</w:t>
      </w:r>
      <w:r w:rsidRPr="003C70DE">
        <w:rPr>
          <w:rFonts w:ascii="Arial" w:hAnsi="Arial" w:cs="Arial"/>
          <w:sz w:val="24"/>
          <w:szCs w:val="24"/>
        </w:rPr>
        <w:t xml:space="preserve"> with index futures to neutralize directional risk</w:t>
      </w:r>
    </w:p>
    <w:p w14:paraId="6EE66738" w14:textId="77777777" w:rsidR="003C70DE" w:rsidRPr="003C70DE" w:rsidRDefault="003C70DE" w:rsidP="003C70DE">
      <w:pPr>
        <w:jc w:val="both"/>
        <w:rPr>
          <w:rFonts w:ascii="Arial" w:hAnsi="Arial" w:cs="Arial"/>
          <w:sz w:val="24"/>
          <w:szCs w:val="24"/>
        </w:rPr>
      </w:pPr>
      <w:r w:rsidRPr="003C70DE">
        <w:rPr>
          <w:rFonts w:ascii="Arial" w:hAnsi="Arial" w:cs="Arial"/>
          <w:sz w:val="24"/>
          <w:szCs w:val="24"/>
        </w:rPr>
        <w:t xml:space="preserve">Monitor </w:t>
      </w:r>
      <w:r w:rsidRPr="003C70DE">
        <w:rPr>
          <w:rFonts w:ascii="Arial" w:hAnsi="Arial" w:cs="Arial"/>
          <w:b/>
          <w:bCs/>
          <w:sz w:val="24"/>
          <w:szCs w:val="24"/>
        </w:rPr>
        <w:t>Gamma exposure</w:t>
      </w:r>
      <w:r w:rsidRPr="003C70DE">
        <w:rPr>
          <w:rFonts w:ascii="Arial" w:hAnsi="Arial" w:cs="Arial"/>
          <w:sz w:val="24"/>
          <w:szCs w:val="24"/>
        </w:rPr>
        <w:t xml:space="preserve"> to determine rebalancing frequency - high gamma means more frequent hedging</w:t>
      </w:r>
    </w:p>
    <w:p w14:paraId="1812B373" w14:textId="77777777" w:rsidR="003C70DE" w:rsidRPr="003C70DE" w:rsidRDefault="003C70DE" w:rsidP="003C70DE">
      <w:pPr>
        <w:jc w:val="both"/>
        <w:rPr>
          <w:rFonts w:ascii="Arial" w:hAnsi="Arial" w:cs="Arial"/>
          <w:sz w:val="24"/>
          <w:szCs w:val="24"/>
        </w:rPr>
      </w:pPr>
      <w:r w:rsidRPr="003C70DE">
        <w:rPr>
          <w:rFonts w:ascii="Arial" w:hAnsi="Arial" w:cs="Arial"/>
          <w:sz w:val="24"/>
          <w:szCs w:val="24"/>
        </w:rPr>
        <w:t xml:space="preserve">Implement </w:t>
      </w:r>
      <w:r w:rsidRPr="003C70DE">
        <w:rPr>
          <w:rFonts w:ascii="Arial" w:hAnsi="Arial" w:cs="Arial"/>
          <w:b/>
          <w:bCs/>
          <w:sz w:val="24"/>
          <w:szCs w:val="24"/>
        </w:rPr>
        <w:t>Vega hedging</w:t>
      </w:r>
      <w:r w:rsidRPr="003C70DE">
        <w:rPr>
          <w:rFonts w:ascii="Arial" w:hAnsi="Arial" w:cs="Arial"/>
          <w:sz w:val="24"/>
          <w:szCs w:val="24"/>
        </w:rPr>
        <w:t xml:space="preserve"> using volatility products or offsetting options to manage volatility risk</w:t>
      </w:r>
    </w:p>
    <w:p w14:paraId="207B1008" w14:textId="77777777" w:rsidR="003C70DE" w:rsidRPr="003C70DE" w:rsidRDefault="003C70DE" w:rsidP="003C70DE">
      <w:pPr>
        <w:jc w:val="both"/>
        <w:rPr>
          <w:rFonts w:ascii="Arial" w:hAnsi="Arial" w:cs="Arial"/>
          <w:b/>
          <w:bCs/>
          <w:sz w:val="24"/>
          <w:szCs w:val="24"/>
        </w:rPr>
      </w:pPr>
      <w:r w:rsidRPr="003C70DE">
        <w:rPr>
          <w:rFonts w:ascii="Arial" w:hAnsi="Arial" w:cs="Arial"/>
          <w:b/>
          <w:bCs/>
          <w:sz w:val="24"/>
          <w:szCs w:val="24"/>
        </w:rPr>
        <w:t>Advanced Risk Metrics:</w:t>
      </w:r>
    </w:p>
    <w:p w14:paraId="2C22C0CC" w14:textId="77777777" w:rsidR="003C70DE" w:rsidRPr="003C70DE" w:rsidRDefault="003C70DE" w:rsidP="003C70DE">
      <w:pPr>
        <w:jc w:val="both"/>
        <w:rPr>
          <w:rFonts w:ascii="Arial" w:hAnsi="Arial" w:cs="Arial"/>
          <w:sz w:val="24"/>
          <w:szCs w:val="24"/>
        </w:rPr>
      </w:pPr>
      <w:r w:rsidRPr="003C70DE">
        <w:rPr>
          <w:rFonts w:ascii="Arial" w:hAnsi="Arial" w:cs="Arial"/>
          <w:sz w:val="24"/>
          <w:szCs w:val="24"/>
        </w:rPr>
        <w:t xml:space="preserve">Calculate </w:t>
      </w:r>
      <w:r w:rsidRPr="003C70DE">
        <w:rPr>
          <w:rFonts w:ascii="Arial" w:hAnsi="Arial" w:cs="Arial"/>
          <w:b/>
          <w:bCs/>
          <w:sz w:val="24"/>
          <w:szCs w:val="24"/>
        </w:rPr>
        <w:t xml:space="preserve">Value-at-Risk (VaR) </w:t>
      </w:r>
      <w:r w:rsidRPr="003C70DE">
        <w:rPr>
          <w:rFonts w:ascii="Arial" w:hAnsi="Arial" w:cs="Arial"/>
          <w:sz w:val="24"/>
          <w:szCs w:val="24"/>
        </w:rPr>
        <w:t>using Monte Carlo simulations that incorporate volatility clustering and jumps</w:t>
      </w:r>
    </w:p>
    <w:p w14:paraId="4C4B2D4C" w14:textId="77777777" w:rsidR="003C70DE" w:rsidRPr="003C70DE" w:rsidRDefault="003C70DE" w:rsidP="003C70DE">
      <w:pPr>
        <w:jc w:val="both"/>
        <w:rPr>
          <w:rFonts w:ascii="Arial" w:hAnsi="Arial" w:cs="Arial"/>
          <w:sz w:val="24"/>
          <w:szCs w:val="24"/>
        </w:rPr>
      </w:pPr>
      <w:r w:rsidRPr="003C70DE">
        <w:rPr>
          <w:rFonts w:ascii="Arial" w:hAnsi="Arial" w:cs="Arial"/>
          <w:sz w:val="24"/>
          <w:szCs w:val="24"/>
        </w:rPr>
        <w:t xml:space="preserve">Conduct </w:t>
      </w:r>
      <w:r w:rsidRPr="003C70DE">
        <w:rPr>
          <w:rFonts w:ascii="Arial" w:hAnsi="Arial" w:cs="Arial"/>
          <w:b/>
          <w:bCs/>
          <w:sz w:val="24"/>
          <w:szCs w:val="24"/>
        </w:rPr>
        <w:t>stress testing</w:t>
      </w:r>
      <w:r w:rsidRPr="003C70DE">
        <w:rPr>
          <w:rFonts w:ascii="Arial" w:hAnsi="Arial" w:cs="Arial"/>
          <w:sz w:val="24"/>
          <w:szCs w:val="24"/>
        </w:rPr>
        <w:t xml:space="preserve"> with historical scenarios (like the 2008 crisis or COVID-19 volatility spike)</w:t>
      </w:r>
    </w:p>
    <w:p w14:paraId="7B15989E" w14:textId="77777777" w:rsidR="003C70DE" w:rsidRPr="003C70DE" w:rsidRDefault="003C70DE" w:rsidP="003C70DE">
      <w:pPr>
        <w:jc w:val="both"/>
        <w:rPr>
          <w:rFonts w:ascii="Arial" w:hAnsi="Arial" w:cs="Arial"/>
          <w:sz w:val="24"/>
          <w:szCs w:val="24"/>
        </w:rPr>
      </w:pPr>
      <w:r w:rsidRPr="003C70DE">
        <w:rPr>
          <w:rFonts w:ascii="Arial" w:hAnsi="Arial" w:cs="Arial"/>
          <w:sz w:val="24"/>
          <w:szCs w:val="24"/>
        </w:rPr>
        <w:t xml:space="preserve">Perform </w:t>
      </w:r>
      <w:r w:rsidRPr="003C70DE">
        <w:rPr>
          <w:rFonts w:ascii="Arial" w:hAnsi="Arial" w:cs="Arial"/>
          <w:b/>
          <w:bCs/>
          <w:sz w:val="24"/>
          <w:szCs w:val="24"/>
        </w:rPr>
        <w:t>PnL attribution</w:t>
      </w:r>
      <w:r w:rsidRPr="003C70DE">
        <w:rPr>
          <w:rFonts w:ascii="Arial" w:hAnsi="Arial" w:cs="Arial"/>
          <w:sz w:val="24"/>
          <w:szCs w:val="24"/>
        </w:rPr>
        <w:t xml:space="preserve"> to decompose daily profits/losses into Greek components (Delta PnL, Vega PnL, etc.)</w:t>
      </w:r>
    </w:p>
    <w:p w14:paraId="068CE7B4" w14:textId="77777777" w:rsidR="003C70DE" w:rsidRPr="003C70DE" w:rsidRDefault="003C70DE" w:rsidP="003C70DE">
      <w:pPr>
        <w:jc w:val="both"/>
        <w:rPr>
          <w:rFonts w:ascii="Arial" w:hAnsi="Arial" w:cs="Arial"/>
          <w:b/>
          <w:bCs/>
          <w:sz w:val="24"/>
          <w:szCs w:val="24"/>
        </w:rPr>
      </w:pPr>
      <w:r w:rsidRPr="003C70DE">
        <w:rPr>
          <w:rFonts w:ascii="Arial" w:hAnsi="Arial" w:cs="Arial"/>
          <w:b/>
          <w:bCs/>
          <w:sz w:val="24"/>
          <w:szCs w:val="24"/>
        </w:rPr>
        <w:t>Optimizing Returns Through Quantitative Strategies:</w:t>
      </w:r>
    </w:p>
    <w:p w14:paraId="66A19312" w14:textId="77777777" w:rsidR="003C70DE" w:rsidRPr="003C70DE" w:rsidRDefault="003C70DE" w:rsidP="003C70DE">
      <w:pPr>
        <w:jc w:val="both"/>
        <w:rPr>
          <w:rFonts w:ascii="Arial" w:hAnsi="Arial" w:cs="Arial"/>
          <w:b/>
          <w:bCs/>
          <w:sz w:val="24"/>
          <w:szCs w:val="24"/>
        </w:rPr>
      </w:pPr>
      <w:r w:rsidRPr="003C70DE">
        <w:rPr>
          <w:rFonts w:ascii="Arial" w:hAnsi="Arial" w:cs="Arial"/>
          <w:b/>
          <w:bCs/>
          <w:sz w:val="24"/>
          <w:szCs w:val="24"/>
        </w:rPr>
        <w:t>1. Relative Value Trading:</w:t>
      </w:r>
    </w:p>
    <w:p w14:paraId="5F93F998" w14:textId="77777777" w:rsidR="003C70DE" w:rsidRPr="003C70DE" w:rsidRDefault="003C70DE" w:rsidP="003C70DE">
      <w:pPr>
        <w:jc w:val="both"/>
        <w:rPr>
          <w:rFonts w:ascii="Arial" w:hAnsi="Arial" w:cs="Arial"/>
          <w:sz w:val="24"/>
          <w:szCs w:val="24"/>
        </w:rPr>
      </w:pPr>
      <w:r w:rsidRPr="003C70DE">
        <w:rPr>
          <w:rFonts w:ascii="Arial" w:hAnsi="Arial" w:cs="Arial"/>
          <w:sz w:val="24"/>
          <w:szCs w:val="24"/>
        </w:rPr>
        <w:t>Identify options where market prices deviate significantly from model-implied values</w:t>
      </w:r>
    </w:p>
    <w:p w14:paraId="4ADB372D" w14:textId="77777777" w:rsidR="003C70DE" w:rsidRPr="003C70DE" w:rsidRDefault="003C70DE" w:rsidP="003C70DE">
      <w:pPr>
        <w:jc w:val="both"/>
        <w:rPr>
          <w:rFonts w:ascii="Arial" w:hAnsi="Arial" w:cs="Arial"/>
          <w:sz w:val="24"/>
          <w:szCs w:val="24"/>
        </w:rPr>
      </w:pPr>
      <w:r w:rsidRPr="003C70DE">
        <w:rPr>
          <w:rFonts w:ascii="Arial" w:hAnsi="Arial" w:cs="Arial"/>
          <w:sz w:val="24"/>
          <w:szCs w:val="24"/>
        </w:rPr>
        <w:t>Execute volatility arbitrage by taking positions when implied volatility differs substantially from expected realized volatility</w:t>
      </w:r>
    </w:p>
    <w:p w14:paraId="56E095F5" w14:textId="77777777" w:rsidR="003C70DE" w:rsidRPr="003C70DE" w:rsidRDefault="003C70DE" w:rsidP="003C70DE">
      <w:pPr>
        <w:jc w:val="both"/>
        <w:rPr>
          <w:rFonts w:ascii="Arial" w:hAnsi="Arial" w:cs="Arial"/>
          <w:b/>
          <w:bCs/>
          <w:sz w:val="24"/>
          <w:szCs w:val="24"/>
        </w:rPr>
      </w:pPr>
      <w:r w:rsidRPr="003C70DE">
        <w:rPr>
          <w:rFonts w:ascii="Arial" w:hAnsi="Arial" w:cs="Arial"/>
          <w:b/>
          <w:bCs/>
          <w:sz w:val="24"/>
          <w:szCs w:val="24"/>
        </w:rPr>
        <w:t>2. Structured Product Design:</w:t>
      </w:r>
    </w:p>
    <w:p w14:paraId="00E5C554" w14:textId="77777777" w:rsidR="003C70DE" w:rsidRPr="003C70DE" w:rsidRDefault="003C70DE" w:rsidP="003C70DE">
      <w:pPr>
        <w:jc w:val="both"/>
        <w:rPr>
          <w:rFonts w:ascii="Arial" w:hAnsi="Arial" w:cs="Arial"/>
          <w:sz w:val="24"/>
          <w:szCs w:val="24"/>
        </w:rPr>
      </w:pPr>
      <w:r w:rsidRPr="003C70DE">
        <w:rPr>
          <w:rFonts w:ascii="Arial" w:hAnsi="Arial" w:cs="Arial"/>
          <w:sz w:val="24"/>
          <w:szCs w:val="24"/>
        </w:rPr>
        <w:t>Use quantitative models to create customized options solutions for clients</w:t>
      </w:r>
    </w:p>
    <w:p w14:paraId="09CFDB85" w14:textId="77777777" w:rsidR="003C70DE" w:rsidRPr="003C70DE" w:rsidRDefault="003C70DE" w:rsidP="003C70DE">
      <w:pPr>
        <w:jc w:val="both"/>
        <w:rPr>
          <w:rFonts w:ascii="Arial" w:hAnsi="Arial" w:cs="Arial"/>
          <w:sz w:val="24"/>
          <w:szCs w:val="24"/>
        </w:rPr>
      </w:pPr>
      <w:r w:rsidRPr="003C70DE">
        <w:rPr>
          <w:rFonts w:ascii="Arial" w:hAnsi="Arial" w:cs="Arial"/>
          <w:sz w:val="24"/>
          <w:szCs w:val="24"/>
        </w:rPr>
        <w:t>Optimize structures for specific objectives like capital protection, yield enhancement, or tax efficiency</w:t>
      </w:r>
    </w:p>
    <w:p w14:paraId="0625330C" w14:textId="77777777" w:rsidR="003C70DE" w:rsidRPr="003C70DE" w:rsidRDefault="003C70DE" w:rsidP="003C70DE">
      <w:pPr>
        <w:jc w:val="both"/>
        <w:rPr>
          <w:rFonts w:ascii="Arial" w:hAnsi="Arial" w:cs="Arial"/>
          <w:b/>
          <w:bCs/>
          <w:sz w:val="24"/>
          <w:szCs w:val="24"/>
        </w:rPr>
      </w:pPr>
      <w:r w:rsidRPr="003C70DE">
        <w:rPr>
          <w:rFonts w:ascii="Arial" w:hAnsi="Arial" w:cs="Arial"/>
          <w:b/>
          <w:bCs/>
          <w:sz w:val="24"/>
          <w:szCs w:val="24"/>
        </w:rPr>
        <w:t>3. Automated Trading Signals:</w:t>
      </w:r>
    </w:p>
    <w:p w14:paraId="5C23F50A" w14:textId="77777777" w:rsidR="003C70DE" w:rsidRPr="003C70DE" w:rsidRDefault="003C70DE" w:rsidP="003C70DE">
      <w:pPr>
        <w:jc w:val="both"/>
        <w:rPr>
          <w:rFonts w:ascii="Arial" w:hAnsi="Arial" w:cs="Arial"/>
          <w:sz w:val="24"/>
          <w:szCs w:val="24"/>
        </w:rPr>
      </w:pPr>
      <w:r w:rsidRPr="003C70DE">
        <w:rPr>
          <w:rFonts w:ascii="Arial" w:hAnsi="Arial" w:cs="Arial"/>
          <w:sz w:val="24"/>
          <w:szCs w:val="24"/>
        </w:rPr>
        <w:t>Develop algorithms that monitor volatility surface anomalies in real-time</w:t>
      </w:r>
    </w:p>
    <w:p w14:paraId="6A7C6020" w14:textId="77777777" w:rsidR="003C70DE" w:rsidRPr="003C70DE" w:rsidRDefault="003C70DE" w:rsidP="003C70DE">
      <w:pPr>
        <w:jc w:val="both"/>
        <w:rPr>
          <w:rFonts w:ascii="Arial" w:hAnsi="Arial" w:cs="Arial"/>
          <w:sz w:val="24"/>
          <w:szCs w:val="24"/>
        </w:rPr>
      </w:pPr>
      <w:r w:rsidRPr="003C70DE">
        <w:rPr>
          <w:rFonts w:ascii="Arial" w:hAnsi="Arial" w:cs="Arial"/>
          <w:sz w:val="24"/>
          <w:szCs w:val="24"/>
        </w:rPr>
        <w:t>Create systematic approaches for volatility selling/based on mean-reversion signals</w:t>
      </w:r>
    </w:p>
    <w:p w14:paraId="4080ABE7" w14:textId="77777777" w:rsidR="003C70DE" w:rsidRPr="003C70DE" w:rsidRDefault="003C70DE" w:rsidP="003C70DE">
      <w:pPr>
        <w:jc w:val="both"/>
        <w:rPr>
          <w:rFonts w:ascii="Arial" w:hAnsi="Arial" w:cs="Arial"/>
          <w:b/>
          <w:bCs/>
          <w:sz w:val="24"/>
          <w:szCs w:val="24"/>
        </w:rPr>
      </w:pPr>
      <w:r w:rsidRPr="003C70DE">
        <w:rPr>
          <w:rFonts w:ascii="Arial" w:hAnsi="Arial" w:cs="Arial"/>
          <w:b/>
          <w:bCs/>
          <w:sz w:val="24"/>
          <w:szCs w:val="24"/>
        </w:rPr>
        <w:lastRenderedPageBreak/>
        <w:t>Conclusion:</w:t>
      </w:r>
    </w:p>
    <w:p w14:paraId="234F958F" w14:textId="77777777" w:rsidR="003C70DE" w:rsidRPr="003C70DE" w:rsidRDefault="003C70DE" w:rsidP="003C70DE">
      <w:pPr>
        <w:jc w:val="both"/>
        <w:rPr>
          <w:rFonts w:ascii="Arial" w:hAnsi="Arial" w:cs="Arial"/>
          <w:sz w:val="24"/>
          <w:szCs w:val="24"/>
        </w:rPr>
      </w:pPr>
      <w:r w:rsidRPr="003C70DE">
        <w:rPr>
          <w:rFonts w:ascii="Arial" w:hAnsi="Arial" w:cs="Arial"/>
          <w:sz w:val="24"/>
          <w:szCs w:val="24"/>
        </w:rPr>
        <w:t>My quantitative approach combines rigorous model implementation with practical market awareness. By continuously calibrating models to market data, actively managing Greek exposures, and systematically identifying pricing inefficiencies, I can help effectively manage risk while seeking optimized returns. This methodology aligns perfectly with Citi's Derivatives Markets objectives of providing accurate pricing, effective hedging, and innovative solutions to clients.</w:t>
      </w:r>
    </w:p>
    <w:p w14:paraId="3F296438" w14:textId="77777777" w:rsidR="003C70DE" w:rsidRPr="003C70DE" w:rsidRDefault="003C70DE" w:rsidP="003C70DE">
      <w:pPr>
        <w:jc w:val="both"/>
        <w:rPr>
          <w:rFonts w:ascii="Arial" w:hAnsi="Arial" w:cs="Arial"/>
          <w:sz w:val="24"/>
          <w:szCs w:val="24"/>
        </w:rPr>
      </w:pPr>
      <w:r w:rsidRPr="003C70DE">
        <w:rPr>
          <w:rFonts w:ascii="Arial" w:hAnsi="Arial" w:cs="Arial"/>
          <w:sz w:val="24"/>
          <w:szCs w:val="24"/>
        </w:rPr>
        <w:t>This framework demonstrates how quantitative techniques transform from theoretical models into practical tools for derivatives analysis, risk management, and return optimization in a real-world banking environment.</w:t>
      </w:r>
    </w:p>
    <w:p w14:paraId="29770AD7" w14:textId="77777777" w:rsidR="003C70DE" w:rsidRPr="003C70DE" w:rsidRDefault="003C70DE" w:rsidP="003C70DE">
      <w:pPr>
        <w:jc w:val="both"/>
        <w:rPr>
          <w:rFonts w:ascii="Arial" w:hAnsi="Arial" w:cs="Arial"/>
          <w:sz w:val="24"/>
          <w:szCs w:val="24"/>
        </w:rPr>
      </w:pPr>
    </w:p>
    <w:sectPr w:rsidR="003C70DE" w:rsidRPr="003C70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0DE"/>
    <w:rsid w:val="001E13C3"/>
    <w:rsid w:val="003C70DE"/>
    <w:rsid w:val="00931969"/>
    <w:rsid w:val="00B9505A"/>
    <w:rsid w:val="00CA5B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FF749"/>
  <w15:chartTrackingRefBased/>
  <w15:docId w15:val="{728A6A08-92CB-4C46-B798-FBE81AE73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0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70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70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70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70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7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0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70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70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70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70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7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0DE"/>
    <w:rPr>
      <w:rFonts w:eastAsiaTheme="majorEastAsia" w:cstheme="majorBidi"/>
      <w:color w:val="272727" w:themeColor="text1" w:themeTint="D8"/>
    </w:rPr>
  </w:style>
  <w:style w:type="paragraph" w:styleId="Title">
    <w:name w:val="Title"/>
    <w:basedOn w:val="Normal"/>
    <w:next w:val="Normal"/>
    <w:link w:val="TitleChar"/>
    <w:uiPriority w:val="10"/>
    <w:qFormat/>
    <w:rsid w:val="003C7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0DE"/>
    <w:pPr>
      <w:spacing w:before="160"/>
      <w:jc w:val="center"/>
    </w:pPr>
    <w:rPr>
      <w:i/>
      <w:iCs/>
      <w:color w:val="404040" w:themeColor="text1" w:themeTint="BF"/>
    </w:rPr>
  </w:style>
  <w:style w:type="character" w:customStyle="1" w:styleId="QuoteChar">
    <w:name w:val="Quote Char"/>
    <w:basedOn w:val="DefaultParagraphFont"/>
    <w:link w:val="Quote"/>
    <w:uiPriority w:val="29"/>
    <w:rsid w:val="003C70DE"/>
    <w:rPr>
      <w:i/>
      <w:iCs/>
      <w:color w:val="404040" w:themeColor="text1" w:themeTint="BF"/>
    </w:rPr>
  </w:style>
  <w:style w:type="paragraph" w:styleId="ListParagraph">
    <w:name w:val="List Paragraph"/>
    <w:basedOn w:val="Normal"/>
    <w:uiPriority w:val="34"/>
    <w:qFormat/>
    <w:rsid w:val="003C70DE"/>
    <w:pPr>
      <w:ind w:left="720"/>
      <w:contextualSpacing/>
    </w:pPr>
  </w:style>
  <w:style w:type="character" w:styleId="IntenseEmphasis">
    <w:name w:val="Intense Emphasis"/>
    <w:basedOn w:val="DefaultParagraphFont"/>
    <w:uiPriority w:val="21"/>
    <w:qFormat/>
    <w:rsid w:val="003C70DE"/>
    <w:rPr>
      <w:i/>
      <w:iCs/>
      <w:color w:val="2F5496" w:themeColor="accent1" w:themeShade="BF"/>
    </w:rPr>
  </w:style>
  <w:style w:type="paragraph" w:styleId="IntenseQuote">
    <w:name w:val="Intense Quote"/>
    <w:basedOn w:val="Normal"/>
    <w:next w:val="Normal"/>
    <w:link w:val="IntenseQuoteChar"/>
    <w:uiPriority w:val="30"/>
    <w:qFormat/>
    <w:rsid w:val="003C70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70DE"/>
    <w:rPr>
      <w:i/>
      <w:iCs/>
      <w:color w:val="2F5496" w:themeColor="accent1" w:themeShade="BF"/>
    </w:rPr>
  </w:style>
  <w:style w:type="character" w:styleId="IntenseReference">
    <w:name w:val="Intense Reference"/>
    <w:basedOn w:val="DefaultParagraphFont"/>
    <w:uiPriority w:val="32"/>
    <w:qFormat/>
    <w:rsid w:val="003C70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672</Words>
  <Characters>3834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sravz lakna</dc:creator>
  <cp:keywords/>
  <dc:description/>
  <cp:lastModifiedBy>sravz lakna</cp:lastModifiedBy>
  <cp:revision>1</cp:revision>
  <dcterms:created xsi:type="dcterms:W3CDTF">2025-12-05T04:00:00Z</dcterms:created>
  <dcterms:modified xsi:type="dcterms:W3CDTF">2025-12-05T04:11:00Z</dcterms:modified>
</cp:coreProperties>
</file>