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2065" w14:textId="5C4E13C2" w:rsidR="00931969" w:rsidRDefault="00940695" w:rsidP="0094069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40695">
        <w:rPr>
          <w:rFonts w:ascii="Arial" w:hAnsi="Arial" w:cs="Arial"/>
          <w:b/>
          <w:bCs/>
          <w:sz w:val="32"/>
          <w:szCs w:val="32"/>
        </w:rPr>
        <w:t>Citi Market Quantitative Analysis</w:t>
      </w:r>
    </w:p>
    <w:p w14:paraId="7BDA1557" w14:textId="2A5D9C8F" w:rsidR="00940695" w:rsidRDefault="00940695" w:rsidP="00940695">
      <w:pPr>
        <w:rPr>
          <w:rFonts w:ascii="Arial" w:hAnsi="Arial" w:cs="Arial"/>
          <w:b/>
          <w:bCs/>
          <w:sz w:val="28"/>
          <w:szCs w:val="28"/>
        </w:rPr>
      </w:pPr>
      <w:r w:rsidRPr="00940695">
        <w:rPr>
          <w:rFonts w:ascii="Arial" w:hAnsi="Arial" w:cs="Arial"/>
          <w:b/>
          <w:bCs/>
          <w:sz w:val="28"/>
          <w:szCs w:val="28"/>
        </w:rPr>
        <w:t xml:space="preserve">Task 2: </w:t>
      </w:r>
      <w:r>
        <w:rPr>
          <w:rFonts w:ascii="Arial" w:hAnsi="Arial" w:cs="Arial"/>
          <w:b/>
          <w:bCs/>
          <w:sz w:val="28"/>
          <w:szCs w:val="28"/>
        </w:rPr>
        <w:t>Pricing Commodities – coffee</w:t>
      </w:r>
    </w:p>
    <w:p w14:paraId="12D9B992" w14:textId="77EB0504" w:rsidR="00940695" w:rsidRDefault="00940695" w:rsidP="00940695">
      <w:pPr>
        <w:rPr>
          <w:rFonts w:ascii="Arial" w:hAnsi="Arial" w:cs="Arial"/>
          <w:b/>
          <w:bCs/>
          <w:sz w:val="24"/>
          <w:szCs w:val="24"/>
        </w:rPr>
      </w:pPr>
      <w:r w:rsidRPr="00940695">
        <w:rPr>
          <w:rFonts w:ascii="Arial" w:hAnsi="Arial" w:cs="Arial"/>
          <w:b/>
          <w:bCs/>
          <w:sz w:val="24"/>
          <w:szCs w:val="24"/>
        </w:rPr>
        <w:t>Knowledge Check</w:t>
      </w:r>
    </w:p>
    <w:p w14:paraId="646CD0AE" w14:textId="3963DD27" w:rsidR="00940695" w:rsidRDefault="00940695" w:rsidP="00940695">
      <w:pPr>
        <w:rPr>
          <w:rFonts w:ascii="Arial" w:hAnsi="Arial" w:cs="Arial"/>
          <w:sz w:val="24"/>
          <w:szCs w:val="24"/>
        </w:rPr>
      </w:pPr>
      <w:r w:rsidRPr="00940695">
        <w:rPr>
          <w:rFonts w:ascii="Arial" w:hAnsi="Arial" w:cs="Arial"/>
          <w:sz w:val="24"/>
          <w:szCs w:val="24"/>
        </w:rPr>
        <w:t>"What is the formula for the cost of carry model, and what does each component represent? How does the Black-Scholes model apply to pricing commodity options? Explain the purpose and application of Monte Carlo simulations in pricing coffee futures."</w:t>
      </w:r>
    </w:p>
    <w:p w14:paraId="621F3126" w14:textId="1DE0EC6B" w:rsidR="00940695" w:rsidRDefault="00940695" w:rsidP="00940695">
      <w:pPr>
        <w:rPr>
          <w:rFonts w:ascii="Arial" w:hAnsi="Arial" w:cs="Arial"/>
          <w:b/>
          <w:bCs/>
          <w:sz w:val="24"/>
          <w:szCs w:val="24"/>
        </w:rPr>
      </w:pPr>
      <w:r w:rsidRPr="00940695">
        <w:rPr>
          <w:rFonts w:ascii="Arial" w:hAnsi="Arial" w:cs="Arial"/>
          <w:b/>
          <w:bCs/>
          <w:sz w:val="24"/>
          <w:szCs w:val="24"/>
        </w:rPr>
        <w:t xml:space="preserve">Answer: </w:t>
      </w:r>
    </w:p>
    <w:p w14:paraId="5BDF877B" w14:textId="77777777" w:rsidR="00E83ED3" w:rsidRPr="00E83ED3" w:rsidRDefault="00E83ED3" w:rsidP="00E83ED3">
      <w:pPr>
        <w:rPr>
          <w:rFonts w:ascii="Arial" w:hAnsi="Arial" w:cs="Arial"/>
          <w:b/>
          <w:bCs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Cost of Carry Model</w:t>
      </w:r>
    </w:p>
    <w:p w14:paraId="295D7338" w14:textId="0DD4CCC6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>F=S×e(r+s−</w:t>
      </w:r>
      <w:r w:rsidRPr="00E83ED3">
        <w:rPr>
          <w:rFonts w:ascii="Arial" w:hAnsi="Arial" w:cs="Arial"/>
          <w:sz w:val="24"/>
          <w:szCs w:val="24"/>
        </w:rPr>
        <w:t>y) TF</w:t>
      </w:r>
      <w:r w:rsidRPr="00E83ED3">
        <w:rPr>
          <w:rFonts w:ascii="Arial" w:hAnsi="Arial" w:cs="Arial"/>
          <w:sz w:val="24"/>
          <w:szCs w:val="24"/>
        </w:rPr>
        <w:t>=</w:t>
      </w:r>
      <w:r w:rsidRPr="00E83ED3">
        <w:rPr>
          <w:rFonts w:ascii="Arial" w:hAnsi="Arial" w:cs="Arial"/>
          <w:i/>
          <w:iCs/>
          <w:sz w:val="24"/>
          <w:szCs w:val="24"/>
        </w:rPr>
        <w:t>S</w:t>
      </w:r>
      <w:r w:rsidRPr="00E83ED3">
        <w:rPr>
          <w:rFonts w:ascii="Arial" w:hAnsi="Arial" w:cs="Arial"/>
          <w:sz w:val="24"/>
          <w:szCs w:val="24"/>
        </w:rPr>
        <w:t>×</w:t>
      </w:r>
      <w:r w:rsidRPr="00E83ED3">
        <w:rPr>
          <w:rFonts w:ascii="Arial" w:hAnsi="Arial" w:cs="Arial"/>
          <w:i/>
          <w:iCs/>
          <w:sz w:val="24"/>
          <w:szCs w:val="24"/>
        </w:rPr>
        <w:t>e</w:t>
      </w:r>
      <w:r w:rsidRPr="00E83ED3">
        <w:rPr>
          <w:rFonts w:ascii="Arial" w:hAnsi="Arial" w:cs="Arial"/>
          <w:sz w:val="24"/>
          <w:szCs w:val="24"/>
        </w:rPr>
        <w:t>(</w:t>
      </w:r>
      <w:r w:rsidRPr="00E83ED3">
        <w:rPr>
          <w:rFonts w:ascii="Arial" w:hAnsi="Arial" w:cs="Arial"/>
          <w:i/>
          <w:iCs/>
          <w:sz w:val="24"/>
          <w:szCs w:val="24"/>
        </w:rPr>
        <w:t>r</w:t>
      </w:r>
      <w:r w:rsidRPr="00E83ED3">
        <w:rPr>
          <w:rFonts w:ascii="Arial" w:hAnsi="Arial" w:cs="Arial"/>
          <w:sz w:val="24"/>
          <w:szCs w:val="24"/>
        </w:rPr>
        <w:t>+</w:t>
      </w:r>
      <w:r w:rsidRPr="00E83ED3">
        <w:rPr>
          <w:rFonts w:ascii="Arial" w:hAnsi="Arial" w:cs="Arial"/>
          <w:i/>
          <w:iCs/>
          <w:sz w:val="24"/>
          <w:szCs w:val="24"/>
        </w:rPr>
        <w:t>s</w:t>
      </w:r>
      <w:r w:rsidRPr="00E83ED3">
        <w:rPr>
          <w:rFonts w:ascii="Arial" w:hAnsi="Arial" w:cs="Arial"/>
          <w:sz w:val="24"/>
          <w:szCs w:val="24"/>
        </w:rPr>
        <w:t>−</w:t>
      </w:r>
      <w:r w:rsidRPr="00E83ED3">
        <w:rPr>
          <w:rFonts w:ascii="Arial" w:hAnsi="Arial" w:cs="Arial"/>
          <w:i/>
          <w:iCs/>
          <w:sz w:val="24"/>
          <w:szCs w:val="24"/>
        </w:rPr>
        <w:t>y</w:t>
      </w:r>
      <w:r w:rsidRPr="00E83ED3">
        <w:rPr>
          <w:rFonts w:ascii="Arial" w:hAnsi="Arial" w:cs="Arial"/>
          <w:sz w:val="24"/>
          <w:szCs w:val="24"/>
        </w:rPr>
        <w:t>)</w:t>
      </w:r>
      <w:r w:rsidRPr="00E83ED3">
        <w:rPr>
          <w:rFonts w:ascii="Arial" w:hAnsi="Arial" w:cs="Arial"/>
          <w:i/>
          <w:iCs/>
          <w:sz w:val="24"/>
          <w:szCs w:val="24"/>
        </w:rPr>
        <w:t xml:space="preserve"> T</w:t>
      </w:r>
    </w:p>
    <w:p w14:paraId="0119F6A7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F</w:t>
      </w:r>
      <w:r w:rsidRPr="00E83ED3">
        <w:rPr>
          <w:rFonts w:ascii="Arial" w:hAnsi="Arial" w:cs="Arial"/>
          <w:sz w:val="24"/>
          <w:szCs w:val="24"/>
        </w:rPr>
        <w:t xml:space="preserve"> = Futures price</w:t>
      </w:r>
    </w:p>
    <w:p w14:paraId="5C1806D5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S</w:t>
      </w:r>
      <w:r w:rsidRPr="00E83ED3">
        <w:rPr>
          <w:rFonts w:ascii="Arial" w:hAnsi="Arial" w:cs="Arial"/>
          <w:sz w:val="24"/>
          <w:szCs w:val="24"/>
        </w:rPr>
        <w:t xml:space="preserve"> = Spot price</w:t>
      </w:r>
    </w:p>
    <w:p w14:paraId="20CB12FE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r</w:t>
      </w:r>
      <w:r w:rsidRPr="00E83ED3">
        <w:rPr>
          <w:rFonts w:ascii="Arial" w:hAnsi="Arial" w:cs="Arial"/>
          <w:sz w:val="24"/>
          <w:szCs w:val="24"/>
        </w:rPr>
        <w:t xml:space="preserve"> = Risk-free rate</w:t>
      </w:r>
    </w:p>
    <w:p w14:paraId="29A451A6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s</w:t>
      </w:r>
      <w:r w:rsidRPr="00E83ED3">
        <w:rPr>
          <w:rFonts w:ascii="Arial" w:hAnsi="Arial" w:cs="Arial"/>
          <w:sz w:val="24"/>
          <w:szCs w:val="24"/>
        </w:rPr>
        <w:t xml:space="preserve"> = Storage cost</w:t>
      </w:r>
    </w:p>
    <w:p w14:paraId="1FDD09B3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 xml:space="preserve">y </w:t>
      </w:r>
      <w:r w:rsidRPr="00E83ED3">
        <w:rPr>
          <w:rFonts w:ascii="Arial" w:hAnsi="Arial" w:cs="Arial"/>
          <w:sz w:val="24"/>
          <w:szCs w:val="24"/>
        </w:rPr>
        <w:t>= Convenience yield (benefit of holding physical coffee)</w:t>
      </w:r>
    </w:p>
    <w:p w14:paraId="7DC9DAEF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 xml:space="preserve">T </w:t>
      </w:r>
      <w:r w:rsidRPr="00E83ED3">
        <w:rPr>
          <w:rFonts w:ascii="Arial" w:hAnsi="Arial" w:cs="Arial"/>
          <w:sz w:val="24"/>
          <w:szCs w:val="24"/>
        </w:rPr>
        <w:t>= Time to expiry</w:t>
      </w:r>
    </w:p>
    <w:p w14:paraId="43E10AE5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Purpose:</w:t>
      </w:r>
      <w:r w:rsidRPr="00E83ED3">
        <w:rPr>
          <w:rFonts w:ascii="Arial" w:hAnsi="Arial" w:cs="Arial"/>
          <w:sz w:val="24"/>
          <w:szCs w:val="24"/>
        </w:rPr>
        <w:t xml:space="preserve"> Calculates no-arbitrage futures price including costs and benefits of holding the commodity.</w:t>
      </w:r>
    </w:p>
    <w:p w14:paraId="2B6BC7A3" w14:textId="77777777" w:rsidR="00E83ED3" w:rsidRPr="00E83ED3" w:rsidRDefault="00E83ED3" w:rsidP="00E83ED3">
      <w:pPr>
        <w:rPr>
          <w:rFonts w:ascii="Arial" w:hAnsi="Arial" w:cs="Arial"/>
          <w:b/>
          <w:bCs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Black–Scholes for Commodity Options</w:t>
      </w:r>
    </w:p>
    <w:p w14:paraId="60D686E3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 xml:space="preserve">Adapted as the </w:t>
      </w:r>
      <w:r w:rsidRPr="00E83ED3">
        <w:rPr>
          <w:rFonts w:ascii="Arial" w:hAnsi="Arial" w:cs="Arial"/>
          <w:b/>
          <w:bCs/>
          <w:sz w:val="24"/>
          <w:szCs w:val="24"/>
        </w:rPr>
        <w:t>Black-76 model</w:t>
      </w:r>
      <w:r w:rsidRPr="00E83ED3">
        <w:rPr>
          <w:rFonts w:ascii="Arial" w:hAnsi="Arial" w:cs="Arial"/>
          <w:sz w:val="24"/>
          <w:szCs w:val="24"/>
        </w:rPr>
        <w:t xml:space="preserve"> to price options on futures:</w:t>
      </w:r>
    </w:p>
    <w:p w14:paraId="2101A808" w14:textId="18E48159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>C=e−</w:t>
      </w:r>
      <w:r w:rsidRPr="00E83ED3">
        <w:rPr>
          <w:rFonts w:ascii="Arial" w:hAnsi="Arial" w:cs="Arial"/>
          <w:sz w:val="24"/>
          <w:szCs w:val="24"/>
        </w:rPr>
        <w:t>rT [</w:t>
      </w:r>
      <w:r w:rsidRPr="00E83ED3">
        <w:rPr>
          <w:rFonts w:ascii="Arial" w:hAnsi="Arial" w:cs="Arial"/>
          <w:sz w:val="24"/>
          <w:szCs w:val="24"/>
        </w:rPr>
        <w:t>FN(d</w:t>
      </w:r>
      <w:r w:rsidRPr="00E83ED3">
        <w:rPr>
          <w:rFonts w:ascii="Arial" w:hAnsi="Arial" w:cs="Arial"/>
          <w:sz w:val="24"/>
          <w:szCs w:val="24"/>
        </w:rPr>
        <w:t>1) −</w:t>
      </w:r>
      <w:r w:rsidRPr="00E83ED3">
        <w:rPr>
          <w:rFonts w:ascii="Arial" w:hAnsi="Arial" w:cs="Arial"/>
          <w:sz w:val="24"/>
          <w:szCs w:val="24"/>
        </w:rPr>
        <w:t>KN(d2)]</w:t>
      </w:r>
      <w:r w:rsidRPr="00E83ED3">
        <w:rPr>
          <w:rFonts w:ascii="Arial" w:hAnsi="Arial" w:cs="Arial"/>
          <w:i/>
          <w:iCs/>
          <w:sz w:val="24"/>
          <w:szCs w:val="24"/>
        </w:rPr>
        <w:t>C</w:t>
      </w:r>
      <w:r w:rsidRPr="00E83ED3">
        <w:rPr>
          <w:rFonts w:ascii="Arial" w:hAnsi="Arial" w:cs="Arial"/>
          <w:sz w:val="24"/>
          <w:szCs w:val="24"/>
        </w:rPr>
        <w:t>=</w:t>
      </w:r>
      <w:r w:rsidRPr="00E83ED3">
        <w:rPr>
          <w:rFonts w:ascii="Arial" w:hAnsi="Arial" w:cs="Arial"/>
          <w:i/>
          <w:iCs/>
          <w:sz w:val="24"/>
          <w:szCs w:val="24"/>
        </w:rPr>
        <w:t>e</w:t>
      </w:r>
      <w:r w:rsidRPr="00E83ED3">
        <w:rPr>
          <w:rFonts w:ascii="Arial" w:hAnsi="Arial" w:cs="Arial"/>
          <w:sz w:val="24"/>
          <w:szCs w:val="24"/>
        </w:rPr>
        <w:t>−</w:t>
      </w:r>
      <w:r w:rsidRPr="00E83ED3">
        <w:rPr>
          <w:rFonts w:ascii="Arial" w:hAnsi="Arial" w:cs="Arial"/>
          <w:i/>
          <w:iCs/>
          <w:sz w:val="24"/>
          <w:szCs w:val="24"/>
        </w:rPr>
        <w:t>rT</w:t>
      </w:r>
      <w:r w:rsidRPr="00E83ED3">
        <w:rPr>
          <w:rFonts w:ascii="Arial" w:hAnsi="Arial" w:cs="Arial"/>
          <w:sz w:val="24"/>
          <w:szCs w:val="24"/>
        </w:rPr>
        <w:t xml:space="preserve"> [</w:t>
      </w:r>
      <w:r w:rsidRPr="00E83ED3">
        <w:rPr>
          <w:rFonts w:ascii="Arial" w:hAnsi="Arial" w:cs="Arial"/>
          <w:i/>
          <w:iCs/>
          <w:sz w:val="24"/>
          <w:szCs w:val="24"/>
        </w:rPr>
        <w:t>FN</w:t>
      </w:r>
      <w:r w:rsidRPr="00E83ED3">
        <w:rPr>
          <w:rFonts w:ascii="Arial" w:hAnsi="Arial" w:cs="Arial"/>
          <w:sz w:val="24"/>
          <w:szCs w:val="24"/>
        </w:rPr>
        <w:t>(</w:t>
      </w:r>
      <w:r w:rsidRPr="00E83ED3">
        <w:rPr>
          <w:rFonts w:ascii="Arial" w:hAnsi="Arial" w:cs="Arial"/>
          <w:i/>
          <w:iCs/>
          <w:sz w:val="24"/>
          <w:szCs w:val="24"/>
        </w:rPr>
        <w:t>d</w:t>
      </w:r>
      <w:r w:rsidRPr="00E83ED3">
        <w:rPr>
          <w:rFonts w:ascii="Arial" w:hAnsi="Arial" w:cs="Arial"/>
          <w:sz w:val="24"/>
          <w:szCs w:val="24"/>
        </w:rPr>
        <w:t>1</w:t>
      </w:r>
      <w:r w:rsidRPr="00E83ED3">
        <w:rPr>
          <w:rFonts w:ascii="Arial" w:hAnsi="Arial" w:cs="Arial"/>
          <w:sz w:val="24"/>
          <w:szCs w:val="24"/>
        </w:rPr>
        <w:t>​) −</w:t>
      </w:r>
      <w:r w:rsidRPr="00E83ED3">
        <w:rPr>
          <w:rFonts w:ascii="Arial" w:hAnsi="Arial" w:cs="Arial"/>
          <w:i/>
          <w:iCs/>
          <w:sz w:val="24"/>
          <w:szCs w:val="24"/>
        </w:rPr>
        <w:t>KN</w:t>
      </w:r>
      <w:r w:rsidRPr="00E83ED3">
        <w:rPr>
          <w:rFonts w:ascii="Arial" w:hAnsi="Arial" w:cs="Arial"/>
          <w:sz w:val="24"/>
          <w:szCs w:val="24"/>
        </w:rPr>
        <w:t>(</w:t>
      </w:r>
      <w:r w:rsidRPr="00E83ED3">
        <w:rPr>
          <w:rFonts w:ascii="Arial" w:hAnsi="Arial" w:cs="Arial"/>
          <w:i/>
          <w:iCs/>
          <w:sz w:val="24"/>
          <w:szCs w:val="24"/>
        </w:rPr>
        <w:t>d</w:t>
      </w:r>
      <w:r w:rsidRPr="00E83ED3">
        <w:rPr>
          <w:rFonts w:ascii="Arial" w:hAnsi="Arial" w:cs="Arial"/>
          <w:sz w:val="24"/>
          <w:szCs w:val="24"/>
        </w:rPr>
        <w:t>2​)]</w:t>
      </w:r>
    </w:p>
    <w:p w14:paraId="5797EE28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 xml:space="preserve">F </w:t>
      </w:r>
      <w:r w:rsidRPr="00E83ED3">
        <w:rPr>
          <w:rFonts w:ascii="Arial" w:hAnsi="Arial" w:cs="Arial"/>
          <w:sz w:val="24"/>
          <w:szCs w:val="24"/>
        </w:rPr>
        <w:t>= Futures price from cost of carry</w:t>
      </w:r>
    </w:p>
    <w:p w14:paraId="7A9857A8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K</w:t>
      </w:r>
      <w:r w:rsidRPr="00E83ED3">
        <w:rPr>
          <w:rFonts w:ascii="Arial" w:hAnsi="Arial" w:cs="Arial"/>
          <w:sz w:val="24"/>
          <w:szCs w:val="24"/>
        </w:rPr>
        <w:t xml:space="preserve"> = Strike price</w:t>
      </w:r>
    </w:p>
    <w:p w14:paraId="4167D426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σ</w:t>
      </w:r>
      <w:r w:rsidRPr="00E83ED3">
        <w:rPr>
          <w:rFonts w:ascii="Arial" w:hAnsi="Arial" w:cs="Arial"/>
          <w:sz w:val="24"/>
          <w:szCs w:val="24"/>
        </w:rPr>
        <w:t xml:space="preserve"> = Coffee price volatility</w:t>
      </w:r>
    </w:p>
    <w:p w14:paraId="4742830E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 xml:space="preserve">Why used: </w:t>
      </w:r>
      <w:r w:rsidRPr="00E83ED3">
        <w:rPr>
          <w:rFonts w:ascii="Arial" w:hAnsi="Arial" w:cs="Arial"/>
          <w:sz w:val="24"/>
          <w:szCs w:val="24"/>
        </w:rPr>
        <w:t>Prices vanilla options quickly under lognormal price assumption; for coffee, volatility is often adjusted for jumps and seasonality.</w:t>
      </w:r>
    </w:p>
    <w:p w14:paraId="5DAA9457" w14:textId="77777777" w:rsidR="00E83ED3" w:rsidRPr="00E83ED3" w:rsidRDefault="00E83ED3" w:rsidP="00E83ED3">
      <w:pPr>
        <w:rPr>
          <w:rFonts w:ascii="Arial" w:hAnsi="Arial" w:cs="Arial"/>
          <w:b/>
          <w:bCs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Monte Carlo Simulation for Coffee Futures</w:t>
      </w:r>
    </w:p>
    <w:p w14:paraId="7409A8CA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Purpose:</w:t>
      </w:r>
      <w:r w:rsidRPr="00E83ED3">
        <w:rPr>
          <w:rFonts w:ascii="Arial" w:hAnsi="Arial" w:cs="Arial"/>
          <w:sz w:val="24"/>
          <w:szCs w:val="24"/>
        </w:rPr>
        <w:t xml:space="preserve"> Models thousands of price paths to capture uncertainty from weather, supply shocks, and geopolitics.</w:t>
      </w:r>
    </w:p>
    <w:p w14:paraId="319D4FC2" w14:textId="77777777" w:rsidR="00E83ED3" w:rsidRPr="00E83ED3" w:rsidRDefault="00E83ED3" w:rsidP="00E83ED3">
      <w:pPr>
        <w:rPr>
          <w:rFonts w:ascii="Arial" w:hAnsi="Arial" w:cs="Arial"/>
          <w:b/>
          <w:bCs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How I apply it:</w:t>
      </w:r>
    </w:p>
    <w:p w14:paraId="7B09A169" w14:textId="77777777" w:rsidR="00E83ED3" w:rsidRPr="00E83ED3" w:rsidRDefault="00E83ED3" w:rsidP="00E83ED3">
      <w:pPr>
        <w:rPr>
          <w:rFonts w:ascii="Arial" w:hAnsi="Arial" w:cs="Arial"/>
          <w:b/>
          <w:bCs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 xml:space="preserve">Model price dynamics using </w:t>
      </w:r>
      <w:r w:rsidRPr="00E83ED3">
        <w:rPr>
          <w:rFonts w:ascii="Arial" w:hAnsi="Arial" w:cs="Arial"/>
          <w:b/>
          <w:bCs/>
          <w:sz w:val="24"/>
          <w:szCs w:val="24"/>
        </w:rPr>
        <w:t>Geometric Brownian Motion + Jump diffusion</w:t>
      </w:r>
    </w:p>
    <w:p w14:paraId="3B82347A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>Run scenarios (normal, drought, surplus, political shock)</w:t>
      </w:r>
    </w:p>
    <w:p w14:paraId="0D240590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lastRenderedPageBreak/>
        <w:t>Output:</w:t>
      </w:r>
    </w:p>
    <w:p w14:paraId="39F6259A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>Price distribution at expiry</w:t>
      </w:r>
    </w:p>
    <w:p w14:paraId="330D58F1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>Probability futures are over/under-priced</w:t>
      </w:r>
    </w:p>
    <w:p w14:paraId="2219E0C8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>VaR, Expected Shortfall, and Greeks for hedging</w:t>
      </w:r>
    </w:p>
    <w:p w14:paraId="55D11A38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Why essential:</w:t>
      </w:r>
      <w:r w:rsidRPr="00E83ED3">
        <w:rPr>
          <w:rFonts w:ascii="Arial" w:hAnsi="Arial" w:cs="Arial"/>
          <w:sz w:val="24"/>
          <w:szCs w:val="24"/>
        </w:rPr>
        <w:t xml:space="preserve"> Handles path-dependency and complex risks that closed-form models cannot, providing robust pricing and risk metrics for Citi’s trading desk.</w:t>
      </w:r>
    </w:p>
    <w:p w14:paraId="51E7ADB6" w14:textId="77777777" w:rsidR="00E83ED3" w:rsidRPr="00E83ED3" w:rsidRDefault="00E83ED3" w:rsidP="00E83ED3">
      <w:pPr>
        <w:rPr>
          <w:rFonts w:ascii="Arial" w:hAnsi="Arial" w:cs="Arial"/>
          <w:b/>
          <w:bCs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Integrated Use at Citi:</w:t>
      </w:r>
    </w:p>
    <w:p w14:paraId="3FFFF104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 xml:space="preserve">Cost of carry </w:t>
      </w:r>
      <w:r w:rsidRPr="00E83ED3">
        <w:rPr>
          <w:rFonts w:ascii="Arial" w:hAnsi="Arial" w:cs="Arial"/>
          <w:sz w:val="24"/>
          <w:szCs w:val="24"/>
        </w:rPr>
        <w:t>→ baseline futures price</w:t>
      </w:r>
    </w:p>
    <w:p w14:paraId="58CDEE62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>Black–Scholes</w:t>
      </w:r>
      <w:r w:rsidRPr="00E83ED3">
        <w:rPr>
          <w:rFonts w:ascii="Arial" w:hAnsi="Arial" w:cs="Arial"/>
          <w:sz w:val="24"/>
          <w:szCs w:val="24"/>
        </w:rPr>
        <w:t xml:space="preserve"> → price vanilla options on futures</w:t>
      </w:r>
    </w:p>
    <w:p w14:paraId="6F3F0DD3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b/>
          <w:bCs/>
          <w:sz w:val="24"/>
          <w:szCs w:val="24"/>
        </w:rPr>
        <w:t xml:space="preserve">Monte Carlo </w:t>
      </w:r>
      <w:r w:rsidRPr="00E83ED3">
        <w:rPr>
          <w:rFonts w:ascii="Arial" w:hAnsi="Arial" w:cs="Arial"/>
          <w:sz w:val="24"/>
          <w:szCs w:val="24"/>
        </w:rPr>
        <w:t>→ stress-test both under real-world scenarios</w:t>
      </w:r>
    </w:p>
    <w:p w14:paraId="61024AE4" w14:textId="77777777" w:rsidR="00E83ED3" w:rsidRPr="00E83ED3" w:rsidRDefault="00E83ED3" w:rsidP="00E83ED3">
      <w:pPr>
        <w:rPr>
          <w:rFonts w:ascii="Arial" w:hAnsi="Arial" w:cs="Arial"/>
          <w:sz w:val="24"/>
          <w:szCs w:val="24"/>
        </w:rPr>
      </w:pPr>
      <w:r w:rsidRPr="00E83ED3">
        <w:rPr>
          <w:rFonts w:ascii="Arial" w:hAnsi="Arial" w:cs="Arial"/>
          <w:sz w:val="24"/>
          <w:szCs w:val="24"/>
        </w:rPr>
        <w:t>This combo ensures accurate, market-aware pricing and risk management for coffee derivatives.</w:t>
      </w:r>
    </w:p>
    <w:p w14:paraId="51953100" w14:textId="77777777" w:rsidR="00940695" w:rsidRPr="00E83ED3" w:rsidRDefault="00940695" w:rsidP="00940695">
      <w:pPr>
        <w:rPr>
          <w:rFonts w:ascii="Arial" w:hAnsi="Arial" w:cs="Arial"/>
          <w:sz w:val="24"/>
          <w:szCs w:val="24"/>
        </w:rPr>
      </w:pPr>
    </w:p>
    <w:sectPr w:rsidR="00940695" w:rsidRPr="00E83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95"/>
    <w:rsid w:val="00897979"/>
    <w:rsid w:val="00931969"/>
    <w:rsid w:val="00940695"/>
    <w:rsid w:val="00CA5BE4"/>
    <w:rsid w:val="00E8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D8E1"/>
  <w15:chartTrackingRefBased/>
  <w15:docId w15:val="{269FC688-C42C-4D31-9121-8C7513EE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sravz lakna</dc:creator>
  <cp:keywords/>
  <dc:description/>
  <cp:lastModifiedBy>sravz lakna</cp:lastModifiedBy>
  <cp:revision>1</cp:revision>
  <dcterms:created xsi:type="dcterms:W3CDTF">2025-12-05T04:28:00Z</dcterms:created>
  <dcterms:modified xsi:type="dcterms:W3CDTF">2025-12-05T04:47:00Z</dcterms:modified>
</cp:coreProperties>
</file>