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3366"/>
          <w:sz w:val="32"/>
        </w:rPr>
        <w:t>MRPL AI WORKBENCH — OFFICIAL APPROVAL NOTE</w:t>
      </w:r>
    </w:p>
    <w:p>
      <w:r>
        <w:rPr>
          <w:b/>
        </w:rPr>
        <w:t xml:space="preserve">Reference Number: </w:t>
      </w:r>
      <w:r>
        <w:t>MRPL-AI-DEMO-001</w:t>
        <w:br/>
      </w:r>
      <w:r>
        <w:rPr>
          <w:b/>
        </w:rPr>
        <w:t xml:space="preserve">Task ID: </w:t>
      </w:r>
      <w:r>
        <w:t>task-insp-24572cdb</w:t>
        <w:br/>
      </w:r>
      <w:r>
        <w:rPr>
          <w:b/>
        </w:rPr>
        <w:t xml:space="preserve">Subject: </w:t>
      </w:r>
      <w:r>
        <w:t>Inspection Findings for inspection_report.txt</w:t>
        <w:br/>
      </w:r>
    </w:p>
    <w:p>
      <w:pPr>
        <w:pStyle w:val="Heading2"/>
      </w:pPr>
      <w:r>
        <w:t>1. Background &amp; Context</w:t>
      </w:r>
    </w:p>
    <w:p>
      <w:r>
        <w:t>Automated inspection analysis conducted via MRPL Sovereign On-Premise AI Workbench for document 'inspection_report.txt'.</w:t>
      </w:r>
    </w:p>
    <w:p>
      <w:pPr>
        <w:pStyle w:val="Heading2"/>
      </w:pPr>
      <w:r>
        <w:t>2. Key Findings &amp; Observations</w:t>
      </w:r>
    </w:p>
    <w:p>
      <w:r>
        <w:t>• Refinery Unit 4 heat exchanger inspection completed.</w:t>
      </w:r>
    </w:p>
    <w:p>
      <w:r>
        <w:t>• Minor surface oxidation observed on outer casing (MRPL-AI-DEMO-001 compliant).</w:t>
      </w:r>
    </w:p>
    <w:p>
      <w:r>
        <w:t>• Wall thickness measured at 14.2 mm; within safety tolerance threshold.</w:t>
      </w:r>
    </w:p>
    <w:p>
      <w:pPr>
        <w:pStyle w:val="Heading2"/>
      </w:pPr>
      <w:r>
        <w:t>3. Reference Evidence &amp; Sources</w:t>
      </w:r>
    </w:p>
    <w:p>
      <w:r>
        <w:t>• Source: inspection_report.txt</w:t>
        <w:br/>
        <w:t xml:space="preserve">  Snippet: MRPL Inspection Report MRPL-AI-DEMO-001: Unit 4 heat exchanger wall thickness 14.2mm.</w:t>
      </w:r>
    </w:p>
    <w:p>
      <w:pPr>
        <w:pStyle w:val="Heading2"/>
      </w:pPr>
      <w:r>
        <w:t>4. Recommendations</w:t>
      </w:r>
    </w:p>
    <w:p>
      <w:r>
        <w:t>• Schedule routine quarterly maintenance.</w:t>
      </w:r>
    </w:p>
    <w:p>
      <w:r>
        <w:t>• Update refinery equipment inspection log.</w:t>
      </w:r>
    </w:p>
    <w:p>
      <w:pPr>
        <w:pStyle w:val="Heading2"/>
      </w:pPr>
      <w:r>
        <w:t>5. Approval Governance Section</w:t>
      </w:r>
    </w:p>
    <w:p>
      <w:r>
        <w:rPr>
          <w:b/>
        </w:rPr>
        <w:t xml:space="preserve">Approver Role: </w:t>
      </w:r>
      <w:r>
        <w:t>Chief Technical Inspector</w:t>
        <w:br/>
      </w:r>
      <w:r>
        <w:rPr>
          <w:b/>
        </w:rPr>
        <w:t xml:space="preserve">Approval Status: </w:t>
      </w:r>
      <w:r>
        <w:t>APPROVED</w:t>
        <w:br/>
      </w:r>
    </w:p>
    <w:p>
      <w:pPr>
        <w:jc w:val="center"/>
      </w:pPr>
      <w:r>
        <w:rPr>
          <w:i/>
          <w:color w:val="808080"/>
          <w:sz w:val="18"/>
        </w:rPr>
        <w:br/>
        <w:t>--- GENERATED BY MRPL AI WORKBENCH — DEMONSTRATION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