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Road condition monitoring system design</w:t>
      </w:r>
    </w:p>
    <w:p>
      <w:pPr>
        <w:pStyle w:val="Subtitle"/>
      </w:pPr>
      <w:r>
        <w:t>Production architecture and implementation report</w:t>
      </w:r>
    </w:p>
    <w:p>
      <w:r>
        <w:t>Prepared for the project team and prospective road maintenance operators</w:t>
      </w:r>
    </w:p>
    <w:p>
      <w:r>
        <w:t>8 September 2026</w:t>
      </w:r>
    </w:p>
    <w:p>
      <w:pPr>
        <w:pStyle w:val="Heading1"/>
      </w:pPr>
      <w:r>
        <w:t>1 Recommended system and scope</w:t>
      </w:r>
    </w:p>
    <w:p>
      <w:r>
        <w:t>Build a Next.js web application for road monitoring, evidence review, maintenance planning and field verification. Pair it with an autonomous capture service on vehicles and a gateway near CCTV installations. Use TypeScript with NestJS for the operational backend, Python for computer vision and geometric measurement, PostgreSQL with PostGIS for the road asset registry, private object storage for evidence, durable queues for processing and Temporal for maintenance workflows.</w:t>
      </w:r>
    </w:p>
    <w:p>
      <w:r>
        <w:t>This architecture supports the complete operational cycle: survey roads, identify several types of damage, measure what the sensors can establish, associate defects with the correct road, review uncertain observations, prioritize work, record repairs and verify the outcome. Production readiness will require measured field performance, dependable operations and acceptance by the road owner. This report defines that path; it does not certify an implemented system.</w:t>
      </w:r>
    </w:p>
    <w:p>
      <w:r>
        <w:t>The planning baseline is India, one city, 20 survey vehicles and up to five fixed cameras, with expansion to 50 vehicles. Geography, budget, existing camera equipment and road authority remain deployment inputs. These assumptions size the design without committing to a vendor purchase. A staged field rollout is part of production engineering, rather than a reduction of the intended product to a demonstration.</w:t>
      </w:r>
    </w:p>
    <w:p>
      <w:r>
        <w:t>Three decisions should guide the project. Keep the web app as the common user interface. Make capture independent of an open browser tab. Treat every coordinate and physical measurement as an estimate with a method, uncertainty and validation status.</w:t>
      </w:r>
    </w:p>
    <w:p>
      <w:pPr>
        <w:pStyle w:val="Heading2"/>
      </w:pPr>
      <w:r>
        <w:t>1.1 What the system should promise</w:t>
      </w: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Capability</w:t>
            </w:r>
          </w:p>
        </w:tc>
        <w:tc>
          <w:tcPr>
            <w:tcW w:type="dxa" w:w="74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Production behavior</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inventory</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Named or unnamed roads with stable IDs, geometry versions, ownership, segments and survey coverage</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Damage monitoring</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Potholes, major crack families, patch deterioration and other separately validated defect classes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Location</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Defect coordinates and road chainage, with uncertainty and an explicit distinction from vehicle GPS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Measurement</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Length, width, area and depth where the capture equipment passes the relevant quality gates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Prioritization</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Explainable severity and maintenance urgency, with human review and approved policy versions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Maintenance</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Assignment, escalation, repair evidence, independent verification and recurrence tracking</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Accountability</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Reproducible evidence, model/calibration versions, audit history and downloadable reports</w:t>
            </w:r>
          </w:p>
        </w:tc>
      </w:tr>
    </w:tbl>
    <w:p>
      <w:pPr>
        <w:spacing w:after="40"/>
      </w:pPr>
    </w:p>
    <w:p>
      <w:r>
        <w:t>The system must also expose unknown values, unobserved roads and unsupported conditions. A road with no recorded detections is not necessarily a road without defects.</w:t>
      </w:r>
    </w:p>
    <w:p>
      <w:pPr>
        <w:pStyle w:val="Heading1"/>
      </w:pPr>
      <w:r>
        <w:t>2 Web application and capture strategy</w:t>
      </w:r>
    </w:p>
    <w:p>
      <w:r>
        <w:t xml:space="preserve">The web application is the right choice for supervisors, GIS analysts, reviewers and crews using different devices. Use an installable progressive web app for convenience, cached reference information and offline field forms. Browser camera access is suitable for attended USB webcam capture and manually submitted phone evidence. Camera and geolocation APIs require secure contexts and user permission. Frozen or discarded pages can stop execution, so a browser session cannot be the reliability foundation for unattended surveying. See </w:t>
      </w:r>
      <w:hyperlink r:id="rId10">
        <w:r>
          <w:rPr>
            <w:color w:val="186A83"/>
            <w:u w:val="single"/>
          </w:rPr>
          <w:t>MDN camera access</w:t>
        </w:r>
      </w:hyperlink>
      <w:r>
        <w:t xml:space="preserve">, </w:t>
      </w:r>
      <w:hyperlink r:id="rId11">
        <w:r>
          <w:rPr>
            <w:color w:val="186A83"/>
            <w:u w:val="single"/>
          </w:rPr>
          <w:t>MDN geolocation</w:t>
        </w:r>
      </w:hyperlink>
      <w:r>
        <w:t xml:space="preserve"> and </w:t>
      </w:r>
      <w:hyperlink r:id="rId12">
        <w:r>
          <w:rPr>
            <w:color w:val="186A83"/>
            <w:u w:val="single"/>
          </w:rPr>
          <w:t>Chrome page lifecycle</w:t>
        </w:r>
      </w:hyperlink>
      <w:r>
        <w:t>.</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Capture source</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Acquisition path</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Reliable output and constraints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USB webcam or phone</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Browser camera and upload APIs while attended</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Detection evidence; approximate location; dimensions require calibration and adequate view</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Vehicle RGB camera</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Linux edge agent or managed Android collector</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Continuous capture, synchronized telemetry, offline storage; RGB alone does not establish cavity depth</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Vehicle survey rig</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Calibrated stereo or laser sensor, GNSS and IMU connected to edge computer</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Candidate metric measurements and precise geolocation, conditional on field validation</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Fixed IP CCTV</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Private RTSP connection into a persistent gateway</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Detection in visible road area; surveyed control points can support planar mapping</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Existing fleet recorder</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Authorized export/API adapter and timestamped telemetry</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Batch ingestion; accuracy depends on timing, metadata and mounting information available</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Citizen or crew upload</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Web upload with time, approximate point and consent</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Unverified report entering review; no invented survey measurements</w:t>
            </w:r>
          </w:p>
        </w:tc>
      </w:tr>
    </w:tbl>
    <w:p>
      <w:pPr>
        <w:spacing w:after="40"/>
      </w:pPr>
    </w:p>
    <w:p>
      <w:r>
        <w:t xml:space="preserve">For CCTV, prefer verified ONVIF Profile T camera models. Use MediaMTX to connect RTSP acquisition to WebRTC live viewing and HLS fallback. Validate browser codecs and provide transcoding where needed; a protocol gateway does not automatically convert incompatible codecs. Keep camera credentials on the gateway. CCTV and vehicle cameras should not be directly exposed to the public internet. See </w:t>
      </w:r>
      <w:hyperlink r:id="rId13">
        <w:r>
          <w:rPr>
            <w:color w:val="186A83"/>
            <w:u w:val="single"/>
          </w:rPr>
          <w:t>ONVIF Profile T</w:t>
        </w:r>
      </w:hyperlink>
      <w:r>
        <w:t xml:space="preserve">, </w:t>
      </w:r>
      <w:hyperlink r:id="rId14">
        <w:r>
          <w:rPr>
            <w:color w:val="186A83"/>
            <w:u w:val="single"/>
          </w:rPr>
          <w:t>MediaMTX RTSP ingestion</w:t>
        </w:r>
      </w:hyperlink>
      <w:r>
        <w:t xml:space="preserve"> and </w:t>
      </w:r>
      <w:hyperlink r:id="rId15">
        <w:r>
          <w:rPr>
            <w:color w:val="186A83"/>
            <w:u w:val="single"/>
          </w:rPr>
          <w:t>browser playback</w:t>
        </w:r>
      </w:hyperlink>
      <w:r>
        <w:t>.</w:t>
      </w:r>
    </w:p>
    <w:p>
      <w:r>
        <w:t>Live viewing is an operator feature. Survey evidence acquisition, quality checks and processing continue when nobody watches the stream. A stationary camera only covers its observable footprint; elevated or distant CCTV often cannot resolve small cracks or the bottom of potholes. A PTZ camera needs a calibrated pose for each usable preset, and measurements must be invalidated after an unregistered camera movement.</w:t>
      </w:r>
    </w:p>
    <w:p>
      <w:pPr>
        <w:pStyle w:val="Heading1"/>
      </w:pPr>
      <w:r>
        <w:t>3 Architecture and technology decisions</w:t>
      </w:r>
    </w:p>
    <w:p>
      <w:pPr>
        <w:keepNext/>
      </w:pPr>
      <w:r>
        <w:drawing>
          <wp:inline xmlns:a="http://schemas.openxmlformats.org/drawingml/2006/main" xmlns:pic="http://schemas.openxmlformats.org/drawingml/2006/picture">
            <wp:extent cx="6400800" cy="5511800"/>
            <wp:docPr id="1" name="Picture 1" descr="System architecture"/>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6400800" cy="5511800"/>
                    </a:xfrm>
                    <a:prstGeom prst="rect"/>
                  </pic:spPr>
                </pic:pic>
              </a:graphicData>
            </a:graphic>
          </wp:inline>
        </w:drawing>
      </w:r>
    </w:p>
    <w:p>
      <w:pPr>
        <w:pStyle w:val="Caption"/>
      </w:pPr>
      <w:r>
        <w:t>Figure 1. Capture, processing and maintenance are separate responsibilities. Arrows represent data transfer or job references. All precise geospatial processing stays inside the deployment boundary approved for the jurisdiction.</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Layer</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Recommended choice</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Purpose and decision rationale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User interface</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Next.js App Router, React and TypeScript</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Shared dashboard, authenticated pages, evidence viewer and field workflows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Interactive map</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MapLibre GL JS with contracted or self-hosted tiles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Render roads, defect layers and coverage; map data and reuse rights remain separate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Operational backend</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Node.js supported LTS with NestJS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Explicit modules for regions, assets, devices, detection jobs, maintenance and reports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Vision and geometry</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Python, PyTorch and OpenCV</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Training, segmentation, image quality, calibration, depth and coordinate transformations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Inference runtime</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ONNX Runtime; TensorRT where validated on NVIDIA equipment</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Deploy the selected model after conversion parity and hardware tests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Geospatial database</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PostgreSQL plus PostGIS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Versioned roads, defects, spatial queries, work orders and transactional state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Evidence storage</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Private S3-compatible object storage in the approved environment</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Media chunks, masks, survey files, calibration, model artifacts and exports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Processing jobs</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RabbitMQ quorum queues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Durable chunk jobs, bounded retries, dead-letter recovery and CPU/GPU worker pools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Device telemetry</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MQTT broker over TLS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Health, location batches and acknowledged configuration commands; no video payloads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Business orchestration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Self-hosted Temporal and TypeScript workers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Long-running review, assignment, escalation and repair verification</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Identity</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Managed or agency-operated OpenID Connect identity provider</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SSO, MFA, account lifecycle and role/region authorization</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Delivery and operation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Containers, infrastructure as code, CI/CD and OpenTelemetry</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Repeatable releases, rollback, metrics, traces and logs</w:t>
            </w:r>
          </w:p>
        </w:tc>
      </w:tr>
    </w:tbl>
    <w:p>
      <w:pPr>
        <w:spacing w:after="40"/>
      </w:pPr>
    </w:p>
    <w:p>
      <w:r>
        <w:t xml:space="preserve">This is a modular backend with independently deployed acquisition and compute services. Each business module does not need to become a separate microservice. </w:t>
      </w:r>
      <w:hyperlink r:id="rId17">
        <w:r>
          <w:rPr>
            <w:color w:val="186A83"/>
            <w:u w:val="single"/>
          </w:rPr>
          <w:t>NestJS modules</w:t>
        </w:r>
      </w:hyperlink>
      <w:r>
        <w:t xml:space="preserve"> provide explicit boundaries; split a module into another service when its scaling, ownership or isolation needs justify that change.</w:t>
      </w:r>
    </w:p>
    <w:p>
      <w:r>
        <w:t xml:space="preserve">For Next.js, use Server Components for the application shell and suitable server-rendered data. Use Client Components for maps, camera controls and interactive review. Keep domain authorization and business mutations in the backend, including those reached through Next.js. Large evidence uploads go directly to authorized object storage, avoiding a web-rendering request as the transfer path. Authentication and tenant context must be considered in any caching strategy. Follow the current </w:t>
      </w:r>
      <w:hyperlink r:id="rId18">
        <w:r>
          <w:rPr>
            <w:color w:val="186A83"/>
            <w:u w:val="single"/>
          </w:rPr>
          <w:t>Next.js server and client component documentation</w:t>
        </w:r>
      </w:hyperlink>
      <w:r>
        <w:t xml:space="preserve"> and pin a supported patched release at implementation time.</w:t>
      </w:r>
    </w:p>
    <w:p>
      <w:r>
        <w:t xml:space="preserve">Use one business workflow engine. Temporal is the preferred choice here because the baseline includes an independently hosted, jurisdiction-controlled backend. Vercel Workflows is a credible alternative if its deployment and data handling fit the final contract: current documentation supports durable execution, retries and external waits, with JavaScript, TypeScript and Python support. Neither choice makes external effects automatically occur exactly once. Store durable business idempotency keys. See </w:t>
      </w:r>
      <w:hyperlink r:id="rId19">
        <w:r>
          <w:rPr>
            <w:color w:val="186A83"/>
            <w:u w:val="single"/>
          </w:rPr>
          <w:t>Temporal activities</w:t>
        </w:r>
      </w:hyperlink>
      <w:r>
        <w:t xml:space="preserve">, </w:t>
      </w:r>
      <w:hyperlink r:id="rId20">
        <w:r>
          <w:rPr>
            <w:color w:val="186A83"/>
            <w:u w:val="single"/>
          </w:rPr>
          <w:t>Temporal deployment</w:t>
        </w:r>
      </w:hyperlink>
      <w:r>
        <w:t xml:space="preserve">, </w:t>
      </w:r>
      <w:hyperlink r:id="rId21">
        <w:r>
          <w:rPr>
            <w:color w:val="186A83"/>
            <w:u w:val="single"/>
          </w:rPr>
          <w:t>Vercel Workflows</w:t>
        </w:r>
      </w:hyperlink>
      <w:r>
        <w:t xml:space="preserve"> and </w:t>
      </w:r>
      <w:hyperlink r:id="rId22">
        <w:r>
          <w:rPr>
            <w:color w:val="186A83"/>
            <w:u w:val="single"/>
          </w:rPr>
          <w:t>Workflow idempotency</w:t>
        </w:r>
      </w:hyperlink>
      <w:r>
        <w:t>.</w:t>
      </w:r>
    </w:p>
    <w:p>
      <w:r>
        <w:t>A language model is optional for drafting plain-language summaries from approved structured findings. It must not invent dimensions, determine emergency actions or overwrite the maintenance policy. The detection and measurement pipeline does not need a generative AI API.</w:t>
      </w:r>
    </w:p>
    <w:p>
      <w:pPr>
        <w:pStyle w:val="Heading1"/>
      </w:pPr>
      <w:r>
        <w:t>4 End to end operational workflow</w:t>
      </w:r>
    </w:p>
    <w:p>
      <w:pPr>
        <w:pStyle w:val="ListNumber"/>
      </w:pPr>
      <w:r>
        <w:t>Register the road authority, regions, users, vehicles and camera/sensor identities. Import authorized road data and establish coordinate reference systems, route origins and geometry versions.</w:t>
      </w:r>
    </w:p>
    <w:p>
      <w:pPr>
        <w:pStyle w:val="ListNumber"/>
      </w:pPr>
      <w:r>
        <w:t>Calibrate the rig. Record camera intrinsics, stereo relationship, camera-to-vehicle pose, antenna offset, IMU alignment, time synchronization and the valid measurement envelope. Run a known-target check before surveying.</w:t>
      </w:r>
    </w:p>
    <w:p>
      <w:pPr>
        <w:pStyle w:val="ListNumber"/>
      </w:pPr>
      <w:r>
        <w:t>Start a survey session with route, vehicle, operator and sensor configuration. Capture exposure timestamps, GNSS fixes, IMU samples, video and device health.</w:t>
      </w:r>
    </w:p>
    <w:p>
      <w:pPr>
        <w:pStyle w:val="ListNumber"/>
      </w:pPr>
      <w:r>
        <w:t>Persist bounded media chunks and manifests locally. Use a durable spool, checksums and sequence IDs. Send health and small metadata continuously where connected; upload evidence with resume and backoff.</w:t>
      </w:r>
    </w:p>
    <w:p>
      <w:pPr>
        <w:pStyle w:val="ListNumber"/>
      </w:pPr>
      <w:r>
        <w:t>Finalize an upload only after checking size, checksum, ownership, format and manifest completeness. Commit the chunk record and processing outbox event in one database transaction.</w:t>
      </w:r>
    </w:p>
    <w:p>
      <w:pPr>
        <w:pStyle w:val="ListNumber"/>
      </w:pPr>
      <w:r>
        <w:t>Decode and check blur, visibility, lighting, lens obstruction, camera movement, telemetry gaps and usable road coverage. Preserve rejected coverage with reasons.</w:t>
      </w:r>
    </w:p>
    <w:p>
      <w:pPr>
        <w:pStyle w:val="ListNumber"/>
      </w:pPr>
      <w:r>
        <w:t>Segment defects and track them within the recording. Retain representative frames, masks, class scores and negative coverage samples. Use a separate geometry stage for metric output.</w:t>
      </w:r>
    </w:p>
    <w:p>
      <w:pPr>
        <w:pStyle w:val="ListNumber"/>
      </w:pPr>
      <w:r>
        <w:t>Time-align the sensor trajectory, reconstruct ground points, associate the road and compute chainage. Retain original positions and uncertainty when the map association is ambiguous.</w:t>
      </w:r>
    </w:p>
    <w:p>
      <w:pPr>
        <w:pStyle w:val="ListNumber"/>
      </w:pPr>
      <w:r>
        <w:t>Associate observations with existing defects using location uncertainty, road, carriageway, appearance, footprint and time. Keep neighbouring defects separate when evidence is insufficient to merge them.</w:t>
      </w:r>
    </w:p>
    <w:p>
      <w:pPr>
        <w:pStyle w:val="ListNumber"/>
      </w:pPr>
      <w:r>
        <w:t>Apply the severity policy and create a review or urgent-verification item. A reviewer confirms the defect, edits evidence-backed fields or rejects a false detection with a reason.</w:t>
      </w:r>
    </w:p>
    <w:p>
      <w:pPr>
        <w:pStyle w:val="ListNumber"/>
      </w:pPr>
      <w:r>
        <w:t>Recompute segment condition and maintenance priorities. The maintenance planner approves repair scope, assigned crew and due times; create a work order with an explicit road owner.</w:t>
      </w:r>
    </w:p>
    <w:p>
      <w:pPr>
        <w:pStyle w:val="ListNumber"/>
      </w:pPr>
      <w:r>
        <w:t>Record repair activity, photographs and treatment quantities. An authorized verifier compares a follow-up survey or field inspection against the original defect before closing. Later recurrence creates a linked new episode.</w:t>
      </w:r>
    </w:p>
    <w:p>
      <w:r>
        <w:t>The asset lifecycle is Candidate → Needs review → Confirmed → Assigned → In progress → Repair reported → Verified closed. Rejected and Duplicate are explicit outcomes with retained provenance. Reopened or Recurrent links preserve the previous repair history. Evidence processing has its own states, such as Awaiting upload, Validating, Queued, Processing, Complete and Failed, so a technical job status cannot be confused with a repaired road.</w:t>
      </w:r>
    </w:p>
    <w:p>
      <w:pPr>
        <w:pStyle w:val="Heading1"/>
      </w:pPr>
      <w:r>
        <w:t>5 Defect taxonomy and physical measurements</w:t>
      </w:r>
    </w:p>
    <w:p>
      <w:pPr>
        <w:pStyle w:val="Heading2"/>
      </w:pPr>
      <w:r>
        <w:t>5.1 Defect classes and validation scope</w:t>
      </w:r>
    </w:p>
    <w:p>
      <w:r>
        <w:t>Start the common data model with potholes, longitudinal cracks, transverse cracks, fatigue or alligator cracking, patch deterioration, raveling, edge break and surface deformation. Treat manholes, utility cuts, markings, shadows, puddles and intact repairs as important confounders or separate contextual classes. Distinguish asphalt from concrete; concrete joint spalling and slab faults need their own definitions and training examples.</w:t>
      </w:r>
    </w:p>
    <w:p>
      <w:r>
        <w:t xml:space="preserve">Do not enable every class merely because the schema supports it. Each class needs locally validated labels, minimum observable size, measurement rules and error rates. Rut depth requires transverse surface geometry; friction or structural capacity cannot be inferred reliably from an ordinary image. The </w:t>
      </w:r>
      <w:hyperlink r:id="rId23">
        <w:r>
          <w:rPr>
            <w:color w:val="186A83"/>
            <w:u w:val="single"/>
          </w:rPr>
          <w:t>FHWA distress manual</w:t>
        </w:r>
      </w:hyperlink>
      <w:r>
        <w:t xml:space="preserve"> offers a useful engineering vocabulary, but local road-owner definitions govern the deployed system.</w:t>
      </w:r>
    </w:p>
    <w:p>
      <w:pPr>
        <w:pStyle w:val="Heading2"/>
      </w:pPr>
      <w:r>
        <w:t>5.2 Meaning of every requested field</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Requested item</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Stored and displayed interpretation</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Measurement requirement</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 road</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Stable internal road ID and geometry revision</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Authority inventory or approved, attributed fallback</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name</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Official name/number and local-language aliases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Unknown allowed; never invent a name from the nearest address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GPS location of road</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centerline or corridor geometry plus start/end coordinates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 road is a line or area, not a single GPS point</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Pothole location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Ground footprint and representative point in the road reference system and WGS84 where appropriate</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Transform from sensor pose; include horizontal uncertainty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Pothole length</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Maximum footprint dimension; optionally road-longitudinal extent</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Calibrated scale or reconstructed 3D boundary</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Pothole width</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Cross dimension with an explicit convention</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Same calibration and footprint method as length</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Pothole area</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Actual ground footprint in square metres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Polygon area, not bounding-box area</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Distance</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Camera-to-defect range, road chainage and crew route distance as three separate fields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Depth geometry, linear referencing or routing, respectively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Pothole depth</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Maximum valid depression below surrounding intact pavement</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Visible cavity and calibrated stereo, laser, LiDAR or field gauge</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Pavement thickness</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Thickness of identified pavement layers, separate from cavity depth</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GPR, cores or approved engineering records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Urgency</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Action priority, reasons, due time and policy version</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Severity plus exposure and road-owner operating policy</w:t>
            </w:r>
          </w:p>
        </w:tc>
      </w:tr>
    </w:tbl>
    <w:p>
      <w:pPr>
        <w:spacing w:after="40"/>
      </w:pPr>
    </w:p>
    <w:p>
      <w:r>
        <w:t>There is no defensible promise of an exact length, depth or location with zero error. Display a value with units, measurement method, uncertainty, capture date and status: Unknown, Estimated, Sensor measured or Field verified. Status belongs to each measurement, because a defect may have a verified location and unknown depth. Unknown values are null with reason codes; they are not zero.</w:t>
      </w:r>
    </w:p>
    <w:p>
      <w:pPr>
        <w:pStyle w:val="Heading2"/>
      </w:pPr>
      <w:r>
        <w:t>5.3 Measurement pipeline</w:t>
      </w:r>
    </w:p>
    <w:p>
      <w:r>
        <w:t>Undistort and, for stereo, rectify the images. Segment the defect boundary and obtain valid 3D points. Fit the surrounding undamaged road surface, allowing a local curved surface when a plane is inadequate. Project the footprint into that local surface, calculate length/width/area and calculate depression relative to the reference surface. Define whether depth is vertical or normal to the local reference surface and use that same convention for field ground truth. Reject isolated depth outliers and quantify valid bottom coverage. Preserve the raw maximum and filtering method when reporting the robust maximum depth.</w:t>
      </w:r>
    </w:p>
    <w:p>
      <w:r>
        <w:t xml:space="preserve">A plane homography can support approximate ground dimensions on a calibrated planar road, but it does not recover the cavity below that plane. Monocular depth models may help triage; an attractive depth visualization is not verified millimetre metrology. Stereo uncertainty increases with range, and shiny, wet, textureless or dark surfaces can invalidate the result. These design limits follow from </w:t>
      </w:r>
      <w:hyperlink r:id="rId24">
        <w:r>
          <w:rPr>
            <w:color w:val="186A83"/>
            <w:u w:val="single"/>
          </w:rPr>
          <w:t>OpenCV calibration and reconstruction</w:t>
        </w:r>
      </w:hyperlink>
      <w:r>
        <w:t xml:space="preserve">, </w:t>
      </w:r>
      <w:hyperlink r:id="rId25">
        <w:r>
          <w:rPr>
            <w:color w:val="186A83"/>
            <w:u w:val="single"/>
          </w:rPr>
          <w:t>OpenCV homography geometry</w:t>
        </w:r>
      </w:hyperlink>
      <w:r>
        <w:t xml:space="preserve"> and </w:t>
      </w:r>
      <w:hyperlink r:id="rId26">
        <w:r>
          <w:rPr>
            <w:color w:val="186A83"/>
            <w:u w:val="single"/>
          </w:rPr>
          <w:t>StereoLabs depth documentation</w:t>
        </w:r>
      </w:hyperlink>
      <w:r>
        <w:t>.</w:t>
      </w:r>
    </w:p>
    <w:p>
      <w:r>
        <w:t>The range to a pothole is different from its depth. At a five-metre camera range, a centimetre-scale surface depression can be difficult to measure even when the range estimate looks stable. Water may hide the bottom entirely; report Depth unknown and request inspection. Volume is optional and only computed from sufficiently complete surface geometry. Do not use rectangular length × width × depth as a precise repair volume. Repair excavation and compaction quantities require a separate engineering estimate.</w:t>
      </w:r>
    </w:p>
    <w:p>
      <w:r>
        <w:t xml:space="preserve">Pavement-layer thickness is a distinct subsurface question. Store layer material, thickness, survey method and chainage coverage separately. </w:t>
      </w:r>
      <w:hyperlink r:id="rId27">
        <w:r>
          <w:rPr>
            <w:color w:val="186A83"/>
            <w:u w:val="single"/>
          </w:rPr>
          <w:t>FHWA guidance on GPR pavement thickness</w:t>
        </w:r>
      </w:hyperlink>
      <w:r>
        <w:t xml:space="preserve"> supports using a dedicated survey method rather than equating the visible hole with total pavement thickness.</w:t>
      </w:r>
    </w:p>
    <w:p>
      <w:pPr>
        <w:pStyle w:val="Heading1"/>
      </w:pPr>
      <w:r>
        <w:t>6 Detection models and data engineering</w:t>
      </w:r>
    </w:p>
    <w:p>
      <w:pPr>
        <w:pStyle w:val="Heading2"/>
      </w:pPr>
      <w:r>
        <w:t>6.1 Model selection</w:t>
      </w:r>
    </w:p>
    <w:p>
      <w:r>
        <w:t>Use instance segmentation as the baseline so that each pothole has a boundary. Plain object detection remains useful for fast proposals, but a bounding rectangle is insufficient for accurate area or shape. Thin cracks may require a separate high-resolution semantic segmentation branch, because resizing can erase them.</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Candidate</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Recommended role</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Decision conditions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RF-DETR-Seg Small or Medium</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First cloud/central inference baseline</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Use an explicitly Apache-designated artifact; benchmark memory, mask quality and throughput</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YOLO26-seg small</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Strong benchmark candidate for edge and central inference</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Resolve Ultralytics licensing; fine-tune on local road data and validate export</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RTMDet-Ins small</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Alternative for constrained devices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Check maintained dependency combination and exact checkpoint rights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Dedicated crack segmentation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Add if general masks miss thin defects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Validate at the actual pixels-per-millimetre and viewing angle</w:t>
            </w:r>
          </w:p>
        </w:tc>
      </w:tr>
    </w:tbl>
    <w:p>
      <w:pPr>
        <w:spacing w:after="40"/>
      </w:pPr>
    </w:p>
    <w:p>
      <w:r>
        <w:t xml:space="preserve">Current Ultralytics documentation lists YOLO26 segmentation checkpoints trained on COCO, not a ready-to-deploy road-damage system. Ultralytics publishes AGPL and Enterprise licensing; use a license arrangement appropriate to the intended proprietary or open-source distribution. RF-DETR distinguishes Apache-designated models from separately licensed Plus components. MMDetection code is Apache 2.0, but artifact provenance still needs recording. Sources: </w:t>
      </w:r>
      <w:hyperlink r:id="rId28">
        <w:r>
          <w:rPr>
            <w:color w:val="186A83"/>
            <w:u w:val="single"/>
          </w:rPr>
          <w:t>YOLO segmentation</w:t>
        </w:r>
      </w:hyperlink>
      <w:r>
        <w:t xml:space="preserve">, </w:t>
      </w:r>
      <w:hyperlink r:id="rId29">
        <w:r>
          <w:rPr>
            <w:color w:val="186A83"/>
            <w:u w:val="single"/>
          </w:rPr>
          <w:t>Ultralytics license</w:t>
        </w:r>
      </w:hyperlink>
      <w:r>
        <w:t xml:space="preserve">, </w:t>
      </w:r>
      <w:hyperlink r:id="rId30">
        <w:r>
          <w:rPr>
            <w:color w:val="186A83"/>
            <w:u w:val="single"/>
          </w:rPr>
          <w:t>RF-DETR repository</w:t>
        </w:r>
      </w:hyperlink>
      <w:r>
        <w:t xml:space="preserve">, </w:t>
      </w:r>
      <w:hyperlink r:id="rId31">
        <w:r>
          <w:rPr>
            <w:color w:val="186A83"/>
            <w:u w:val="single"/>
          </w:rPr>
          <w:t>RTMDet documentation</w:t>
        </w:r>
      </w:hyperlink>
      <w:r>
        <w:t xml:space="preserve"> and </w:t>
      </w:r>
      <w:hyperlink r:id="rId32">
        <w:r>
          <w:rPr>
            <w:color w:val="186A83"/>
            <w:u w:val="single"/>
          </w:rPr>
          <w:t>MMDetection license</w:t>
        </w:r>
      </w:hyperlink>
      <w:r>
        <w:t>.</w:t>
      </w:r>
    </w:p>
    <w:p>
      <w:r>
        <w:t>Select the deployed model by hazardous-defect recall, false reports per lane-kilometre, footprint quality, watts, memory and full processing latency on the actual rig. Vendor benchmarks do not predict pothole performance. Re-evaluate after ONNX conversion, TensorRT optimization or quantization. Within-video tracking reduces repeat detections, but cross-vehicle and cross-day identity must be resolved by the asset-association stage.</w:t>
      </w:r>
    </w:p>
    <w:p>
      <w:pPr>
        <w:pStyle w:val="Heading2"/>
      </w:pPr>
      <w:r>
        <w:t>6.2 Dataset plan</w:t>
      </w:r>
    </w:p>
    <w:p>
      <w:r>
        <w:t xml:space="preserve">RDD2022 provides 47,420 images from six countries with four damage categories: longitudinal, transverse and alligator cracks, and potholes. It is useful initial detection data; it does not supply the local segmentation and calibrated depth ground truth required here. Its India coverage is geographically limited. The release metadata states CC BY 4.0, while repository and subset provenance require review, including the paper's use of Google Street View material in the US subset. Record the exact release and resolved permissions before commercial training. See the </w:t>
      </w:r>
      <w:hyperlink r:id="rId33">
        <w:r>
          <w:rPr>
            <w:color w:val="186A83"/>
            <w:u w:val="single"/>
          </w:rPr>
          <w:t>RDD2022 paper</w:t>
        </w:r>
      </w:hyperlink>
      <w:r>
        <w:t xml:space="preserve">, </w:t>
      </w:r>
      <w:hyperlink r:id="rId34">
        <w:r>
          <w:rPr>
            <w:color w:val="186A83"/>
            <w:u w:val="single"/>
          </w:rPr>
          <w:t>dataset release</w:t>
        </w:r>
      </w:hyperlink>
      <w:r>
        <w:t xml:space="preserve"> and </w:t>
      </w:r>
      <w:hyperlink r:id="rId35">
        <w:r>
          <w:rPr>
            <w:color w:val="186A83"/>
            <w:u w:val="single"/>
          </w:rPr>
          <w:t>release metadata</w:t>
        </w:r>
      </w:hyperlink>
      <w:r>
        <w:t>.</w:t>
      </w:r>
    </w:p>
    <w:p>
      <w:r>
        <w:t>Collect a local dataset across road materials, seasons, dry/wet conditions, shadows, repairs, traffic occlusion and the certified range of camera speeds and mounts. Include defect-free footage and missed detections found by independent inspectors. Obtain pixel masks and class labels from trained annotators, with adjudication by a pavement engineer. Survey a subset of physical boundaries, depth and coordinates independently of the production rig.</w:t>
      </w:r>
    </w:p>
    <w:p>
      <w:r>
        <w:t>Split training, validation and final test data by road corridor, collection session and date; keep adjacent video frames in one partition. Hold out unfamiliar routes and, when available, another area and season. Agree the test set before tuning. Record per-class sample counts, uncertainty intervals, annotation disagreement and negative coverage. A proposed initial corpus might include 10,000 reviewed local frames and 500 independently surveyed defects, but the required size must be determined from class prevalence and the confidence needed in the acceptance results.</w:t>
      </w:r>
    </w:p>
    <w:p>
      <w:r>
        <w:t xml:space="preserve">Version datasets, labels, models, preprocessing, calibration and severity policies. Use a model registry such as </w:t>
      </w:r>
      <w:hyperlink r:id="rId36">
        <w:r>
          <w:rPr>
            <w:color w:val="186A83"/>
            <w:u w:val="single"/>
          </w:rPr>
          <w:t>MLflow</w:t>
        </w:r>
      </w:hyperlink>
      <w:r>
        <w:t xml:space="preserve"> and an annotation system such as </w:t>
      </w:r>
      <w:hyperlink r:id="rId37">
        <w:r>
          <w:rPr>
            <w:color w:val="186A83"/>
            <w:u w:val="single"/>
          </w:rPr>
          <w:t>CVAT</w:t>
        </w:r>
      </w:hyperlink>
      <w:r>
        <w:t xml:space="preserve"> after checking their selected release and hosting requirements. Training jobs should run inside the approved data boundary. Keep the previous model available for rollback; deploy a challenger to shadow traffic before switching the production model. Retraining should be triggered by measured drift or accumulating reviewed examples, followed by the same release gates.</w:t>
      </w:r>
    </w:p>
    <w:p>
      <w:pPr>
        <w:pStyle w:val="Heading1"/>
      </w:pPr>
      <w:r>
        <w:t>7 GPS localization and road segmentation</w:t>
      </w:r>
    </w:p>
    <w:p>
      <w:pPr>
        <w:pStyle w:val="Heading2"/>
      </w:pPr>
      <w:r>
        <w:t>7.1 From vehicle coordinates to defect coordinates</w:t>
      </w:r>
    </w:p>
    <w:p>
      <w:r>
        <w:t>GNSS measures the antenna position. The pothole can be several metres ahead and to one side. Interpolate the trajectory to the camera exposure time, combine vehicle heading/attitude with the calibrated antenna and camera offsets, then transform the measured defect ground point into the survey reference frame. Store both antenna position and derived defect position.</w:t>
      </w:r>
    </w:p>
    <w:p>
      <w:r>
        <w:t xml:space="preserve">At 50 km/h, a timing error of 100 milliseconds alone corresponds to about 1.39 metres along the road. This is a speed-times-time calculation, demonstrating why frame capture timestamps matter more than upload timestamps. GNSS/IMU synchronization, fix quality, covariance and correction age belong in every measurement chain. See </w:t>
      </w:r>
      <w:hyperlink r:id="rId38">
        <w:r>
          <w:rPr>
            <w:color w:val="186A83"/>
            <w:u w:val="single"/>
          </w:rPr>
          <w:t>StereoLabs acquisition synchronization</w:t>
        </w:r>
      </w:hyperlink>
      <w:r>
        <w:t>.</w:t>
      </w:r>
    </w:p>
    <w:p>
      <w:r>
        <w:t xml:space="preserve">Ordinary phone GNSS is useful for approximate reports. GPS.gov cites roughly 4.9 metres typical open-sky smartphone accuracy, with worse conditions near obstructions; this is not an individual device guarantee. RTK GNSS can improve positioning, but its complete moving-vehicle defect accuracy must include sensor geometry, clock error and map accuracy. Use correction-loss and urban-canyon states explicitly. See </w:t>
      </w:r>
      <w:hyperlink r:id="rId39">
        <w:r>
          <w:rPr>
            <w:color w:val="186A83"/>
            <w:u w:val="single"/>
          </w:rPr>
          <w:t>GPS.gov accuracy guidance</w:t>
        </w:r>
      </w:hyperlink>
      <w:r>
        <w:t xml:space="preserve"> and </w:t>
      </w:r>
      <w:hyperlink r:id="rId40">
        <w:r>
          <w:rPr>
            <w:color w:val="186A83"/>
            <w:u w:val="single"/>
          </w:rPr>
          <w:t>Survey of India CORS information</w:t>
        </w:r>
      </w:hyperlink>
      <w:r>
        <w:t>.</w:t>
      </w:r>
    </w:p>
    <w:p>
      <w:pPr>
        <w:pStyle w:val="Heading2"/>
      </w:pPr>
      <w:r>
        <w:t>7.2 Road identity and matching</w:t>
      </w:r>
    </w:p>
    <w:p>
      <w:r>
        <w:t>Create stable internal road IDs independent of names and provider identifiers. Store authority, official road number, aliases, road class, region, surface, carriageway, travel direction, geometry revision and valid dates. Multiple names can refer to one road; the same name can refer to different roads.</w:t>
      </w:r>
    </w:p>
    <w:p>
      <w:r>
        <w:t xml:space="preserve">Match the trajectory using heading, topology, travel continuity and uncertainty. Match the projected defect to its carriageway and segment afterwards. Nearest-line matching alone fails at parallel service roads, flyovers, tunnels and intersections. Preserve alternative candidates and an Unmatched state; require review when confidence is inadequate. An </w:t>
      </w:r>
      <w:hyperlink r:id="rId41">
        <w:r>
          <w:rPr>
            <w:color w:val="186A83"/>
            <w:u w:val="single"/>
          </w:rPr>
          <w:t>OSRM-based matcher</w:t>
        </w:r>
      </w:hyperlink>
      <w:r>
        <w:t xml:space="preserve"> over an authorized road graph is one candidate for implementation, subject to local topology and performance tests.</w:t>
      </w:r>
    </w:p>
    <w:p>
      <w:r>
        <w:t>Store original observations separately from snapped or corrected positions. Map matching helps select a road; it cannot convert a noisy GNSS measurement into a survey measurement. Road ownership must come from the approved asset registry, not only a containing administrative polygon.</w:t>
      </w:r>
    </w:p>
    <w:p>
      <w:pPr>
        <w:pStyle w:val="Heading2"/>
      </w:pPr>
      <w:r>
        <w:t>7.3 Segment and chainage model</w:t>
      </w:r>
    </w:p>
    <w:p>
      <w:r>
        <w:t>Use the hierarchy Jurisdiction → Road → Carriageway → Segment → Defect episode. Split segments at intersections, ownership changes, surface or carriageway changes and chainage discontinuities. Within suitable stretches, use configurable 100-metre analysis units. This length is a design choice, not a government standard. Aggregate units into contiguous repair packages when planning maintenance.</w:t>
      </w:r>
    </w:p>
    <w:p>
      <w:r>
        <w:t>Chainage is the distance along an approved route reference, such as 1+240 metres from its origin. It differs from straight-line distance and from driving distance to the repair. Preserve the route origin, direction, calibration/control points and chainage equations where official survey chainage differs from GIS length. Version these definitions when roads are realigned.</w:t>
      </w:r>
    </w:p>
    <w:p>
      <w:r>
        <w:t xml:space="preserve">Use PostGIS spatial indexes for candidate searches and an appropriate local metric coordinate system for area and short-distance engineering calculations. Preserve source CRS, horizontal datum, vertical datum and transformations. Do not calculate metres from raw longitude/latitude degrees or use Web Mercator as the engineering measurement plane. </w:t>
      </w:r>
      <w:hyperlink r:id="rId42">
        <w:r>
          <w:rPr>
            <w:color w:val="186A83"/>
            <w:u w:val="single"/>
          </w:rPr>
          <w:t>ST_DWithin</w:t>
        </w:r>
      </w:hyperlink>
      <w:r>
        <w:t xml:space="preserve"> supports spatial proximity queries, </w:t>
      </w:r>
      <w:hyperlink r:id="rId43">
        <w:r>
          <w:rPr>
            <w:color w:val="186A83"/>
            <w:u w:val="single"/>
          </w:rPr>
          <w:t>ST_LineLocatePoint</w:t>
        </w:r>
      </w:hyperlink>
      <w:r>
        <w:t xml:space="preserve"> provides fractional position on a line, and </w:t>
      </w:r>
      <w:hyperlink r:id="rId44">
        <w:r>
          <w:rPr>
            <w:color w:val="186A83"/>
            <w:u w:val="single"/>
          </w:rPr>
          <w:t>ST_Transform</w:t>
        </w:r>
      </w:hyperlink>
      <w:r>
        <w:t xml:space="preserve"> changes coordinate systems. Relabelling a CRS does not transform its coordinates.</w:t>
      </w:r>
    </w:p>
    <w:p>
      <w:pPr>
        <w:keepNext/>
      </w:pPr>
      <w:r>
        <w:drawing>
          <wp:inline xmlns:a="http://schemas.openxmlformats.org/drawingml/2006/main" xmlns:pic="http://schemas.openxmlformats.org/drawingml/2006/picture">
            <wp:extent cx="6400800" cy="4018280"/>
            <wp:docPr id="2" name="Picture 2" descr="Road segmentation and measurements"/>
            <wp:cNvGraphicFramePr>
              <a:graphicFrameLocks noChangeAspect="1"/>
            </wp:cNvGraphicFramePr>
            <a:graphic>
              <a:graphicData uri="http://schemas.openxmlformats.org/drawingml/2006/picture">
                <pic:pic>
                  <pic:nvPicPr>
                    <pic:cNvPr id="0" name="segmentation.png"/>
                    <pic:cNvPicPr/>
                  </pic:nvPicPr>
                  <pic:blipFill>
                    <a:blip r:embed="rId45"/>
                    <a:stretch>
                      <a:fillRect/>
                    </a:stretch>
                  </pic:blipFill>
                  <pic:spPr>
                    <a:xfrm>
                      <a:off x="0" y="0"/>
                      <a:ext cx="6400800" cy="4018280"/>
                    </a:xfrm>
                    <a:prstGeom prst="rect"/>
                  </pic:spPr>
                </pic:pic>
              </a:graphicData>
            </a:graphic>
          </wp:inline>
        </w:drawing>
      </w:r>
    </w:p>
    <w:p>
      <w:pPr>
        <w:pStyle w:val="Caption"/>
      </w:pPr>
      <w:r>
        <w:t>Figure 2. Illustrative road geometry showing analysis units, a defect footprint, chainage and lateral offset. The drawing is a conceptual example, not an actual road survey.</w:t>
      </w:r>
    </w:p>
    <w:p>
      <w:pPr>
        <w:pStyle w:val="Heading1"/>
      </w:pPr>
      <w:r>
        <w:t>8 Government data maps and engineering drawings</w:t>
      </w:r>
    </w:p>
    <w:p>
      <w:r>
        <w:t>No verified universal public API supplies every Indian road's official identity, current centerline, engineering blueprint, pavement layers, maintenance owner and defects. Build adapters around datasets actually obtained for the selected city. Government publication, public visibility and unrestricted reuse are different things.</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Source</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Verified useful scope</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Integration and remaining constraint</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PMGSY GeoSadak</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Official rural-connectivity data release under Government Open Data License</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Acquire permitted rural layers; confirm actual files, vintage and pilot coverage. Live download pages were unavailable during this review</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Survey of India</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Topographic vectors, rasters and PDFs; road reference layers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Import licensed products with sheet dates and scale. Reference-map scale does not establish pothole accuracy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ISRO Bhuvan</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Documented WMS/WMTS thematic visualization</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Use permitted overlays after capabilities and terms checks. A WMS image is not an editable centerline dataset</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data.gov.in and MoRTH</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Published road statistics and related catalogs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Use resource-specific data for context. The inspected Basic Road Statistics catalog contains older statistical observations, not per-road GPS geometry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NHAI systems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Announced GIS-tagged project documents and project IDs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Seek an authorized data-sharing interface or export. An open public integration API was not established</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State PWD and municipality</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registers, local GIS, DPR and as-built records where maintained</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Primary source for ownership, engineering drawings, chainage and repair history; obtain an agreement</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Survey of India CORS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Correction services for eligible GNSS surveying</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Confirm account eligibility, rover compatibility, local correction availability and current service terms</w:t>
            </w:r>
          </w:p>
        </w:tc>
      </w:tr>
    </w:tbl>
    <w:p>
      <w:pPr>
        <w:spacing w:after="40"/>
      </w:pPr>
    </w:p>
    <w:p>
      <w:r>
        <w:t xml:space="preserve">Evidence: </w:t>
      </w:r>
      <w:hyperlink r:id="rId46">
        <w:r>
          <w:rPr>
            <w:color w:val="186A83"/>
            <w:u w:val="single"/>
          </w:rPr>
          <w:t>MoRD GeoSadak release from February 2022</w:t>
        </w:r>
      </w:hyperlink>
      <w:r>
        <w:t xml:space="preserve">, </w:t>
      </w:r>
      <w:hyperlink r:id="rId47">
        <w:r>
          <w:rPr>
            <w:color w:val="186A83"/>
            <w:u w:val="single"/>
          </w:rPr>
          <w:t>SOI product portal</w:t>
        </w:r>
      </w:hyperlink>
      <w:r>
        <w:t xml:space="preserve">, </w:t>
      </w:r>
      <w:hyperlink r:id="rId48">
        <w:r>
          <w:rPr>
            <w:color w:val="186A83"/>
            <w:u w:val="single"/>
          </w:rPr>
          <w:t>Bhuvan service guide</w:t>
        </w:r>
      </w:hyperlink>
      <w:r>
        <w:t xml:space="preserve">, </w:t>
      </w:r>
      <w:hyperlink r:id="rId49">
        <w:r>
          <w:rPr>
            <w:color w:val="186A83"/>
            <w:u w:val="single"/>
          </w:rPr>
          <w:t>Bhuvan terms</w:t>
        </w:r>
      </w:hyperlink>
      <w:r>
        <w:t xml:space="preserve">, </w:t>
      </w:r>
      <w:hyperlink r:id="rId50">
        <w:r>
          <w:rPr>
            <w:color w:val="186A83"/>
            <w:u w:val="single"/>
          </w:rPr>
          <w:t>Basic Road Statistics catalog</w:t>
        </w:r>
      </w:hyperlink>
      <w:r>
        <w:t xml:space="preserve"> and </w:t>
      </w:r>
      <w:hyperlink r:id="rId51">
        <w:r>
          <w:rPr>
            <w:color w:val="186A83"/>
            <w:u w:val="single"/>
          </w:rPr>
          <w:t>NHAI Data Lake announcement from June 2020</w:t>
        </w:r>
      </w:hyperlink>
      <w:r>
        <w:t xml:space="preserve">. State-specific systems such as </w:t>
      </w:r>
      <w:hyperlink r:id="rId52">
        <w:r>
          <w:rPr>
            <w:color w:val="186A83"/>
            <w:u w:val="single"/>
          </w:rPr>
          <w:t>Kerala RTrack</w:t>
        </w:r>
      </w:hyperlink>
      <w:r>
        <w:t xml:space="preserve"> demonstrate why the state and owner must be identified before promising access.</w:t>
      </w:r>
    </w:p>
    <w:p>
      <w:pPr>
        <w:pStyle w:val="Heading2"/>
      </w:pPr>
      <w:r>
        <w:t>8.1 Import acceptance and update workflow</w:t>
      </w:r>
    </w:p>
    <w:p>
      <w:r>
        <w:t>For each dataset, obtain the custodian, contact, geographic coverage, official IDs, geometry type, CRS, positional accuracy, observation date, license, attribution, export rights and update mechanism. Download to a quarantine area; validate geometry, encoding, IDs, duplicates and missing coverage. Compare a sample against ground checks. Review changes before publishing a new road-network version. Keep the source unchanged and retain a mapping from external IDs to internal assets.</w:t>
      </w:r>
    </w:p>
    <w:p>
      <w:r>
        <w:t>Schedule permitted refreshes with schema-change detection and retry limits. Keep serving the last approved road version if an upstream portal fails. Do not silently replace approved authority geometry with a different provider's line. Mark provisional roads and unresolved ownership separately until the custodian approves them.</w:t>
      </w:r>
    </w:p>
    <w:p>
      <w:r>
        <w:t>For blueprints, request CAD/DWG/DXF, GIS/GeoPackage, alignment and cross-section files, DPRs, approved as-built PDFs and pavement-layer records. Store original documents with revision, approval date, road/chainage extent, units, datum and access rights. Georeference drawings only with known control points and recorded residual error. A scanned drawing without reliable georeferencing is a reference attachment, not a precise map layer. Separate design intent from measured as-built condition.</w:t>
      </w:r>
    </w:p>
    <w:p>
      <w:pPr>
        <w:pStyle w:val="Heading2"/>
      </w:pPr>
      <w:r>
        <w:t>8.2 Map provider decision</w:t>
      </w:r>
    </w:p>
    <w:p>
      <w:r>
        <w:t xml:space="preserve">The default is MapLibre displaying a legally usable basemap plus the application's own authorized road and defect layers. Use contracted tiles or operate the tile service. The public OSM tile service has no production SLA and prohibits bulk/offline downloading under its standard policy; comply with OSM attribution and applicable database obligations. See </w:t>
      </w:r>
      <w:hyperlink r:id="rId53">
        <w:r>
          <w:rPr>
            <w:color w:val="186A83"/>
            <w:u w:val="single"/>
          </w:rPr>
          <w:t>OSMF tile policy</w:t>
        </w:r>
      </w:hyperlink>
      <w:r>
        <w:t xml:space="preserve"> and </w:t>
      </w:r>
      <w:hyperlink r:id="rId54">
        <w:r>
          <w:rPr>
            <w:color w:val="186A83"/>
            <w:u w:val="single"/>
          </w:rPr>
          <w:t>OpenStreetMap copyright</w:t>
        </w:r>
      </w:hyperlink>
      <w:r>
        <w:t>.</w:t>
      </w:r>
    </w:p>
    <w:p>
      <w:r>
        <w:t xml:space="preserve">Google Roads results have display and storage restrictions, including restrictions on showing results on non-Google maps. Mappls documents Snap-to-Road V2 for enabled use cases, but default terms restrict map combinations and caching. A commercial contract must explicitly permit permanent asset storage, exports and agency GIS use before either becomes part of the road registry. Do not mix Google snapping results into a MapLibre map by assumption. See </w:t>
      </w:r>
      <w:hyperlink r:id="rId55">
        <w:r>
          <w:rPr>
            <w:color w:val="186A83"/>
            <w:u w:val="single"/>
          </w:rPr>
          <w:t>Google Roads policies</w:t>
        </w:r>
      </w:hyperlink>
      <w:r>
        <w:t xml:space="preserve">, </w:t>
      </w:r>
      <w:hyperlink r:id="rId56">
        <w:r>
          <w:rPr>
            <w:color w:val="186A83"/>
            <w:u w:val="single"/>
          </w:rPr>
          <w:t>Mappls Snap-to-Road V2</w:t>
        </w:r>
      </w:hyperlink>
      <w:r>
        <w:t xml:space="preserve"> and </w:t>
      </w:r>
      <w:hyperlink r:id="rId57">
        <w:r>
          <w:rPr>
            <w:color w:val="186A83"/>
            <w:u w:val="single"/>
          </w:rPr>
          <w:t>Mappls terms</w:t>
        </w:r>
      </w:hyperlink>
      <w:r>
        <w:t>.</w:t>
      </w:r>
    </w:p>
    <w:p>
      <w:pPr>
        <w:pStyle w:val="Heading1"/>
      </w:pPr>
      <w:r>
        <w:t>9 Severity urgency and maintenance planning</w:t>
      </w:r>
    </w:p>
    <w:p>
      <w:r>
        <w:t>Keep three independent concepts: physical severity, action priority and evidence confidence. A large low-confidence candidate should enter rapid verification rather than receive a low urgency merely because the model is unsure.</w:t>
      </w:r>
    </w:p>
    <w:p>
      <w:r>
        <w:t xml:space="preserve">For an initial engineering reference, the FHWA LTPP manual uses pothole depths below 25 mm, 25–50 mm and above 50 mm as low, moderate and high categories. It also has dimensional inclusion rules. These are a reference configuration, not Indian statutory thresholds. The owner must approve the actual policy by defect type, road class and local maintenance obligations. Smaller hazards can remain visible in the application even when excluded from a particular standardized summary. Source: </w:t>
      </w:r>
      <w:hyperlink r:id="rId58">
        <w:r>
          <w:rPr>
            <w:color w:val="186A83"/>
            <w:u w:val="single"/>
          </w:rPr>
          <w:t>FHWA pothole measurement and severity</w:t>
        </w:r>
      </w:hyperlink>
      <w:r>
        <w:t>.</w:t>
      </w:r>
    </w:p>
    <w:p>
      <w:pPr>
        <w:pStyle w:val="Heading2"/>
      </w:pPr>
      <w:r>
        <w:t>9.1 Proposed priority policy</w:t>
      </w:r>
    </w:p>
    <w:p>
      <w:r>
        <w:t>Apply emergency override rules first. Examples for owner approval include an apparent collapse, a severe wheel-path hazard at high speed, or a dangerous defect near vulnerable road users. These rules create an urgent operator action and a rapid verification path. The application does not independently close roads or instruct motorists to take evasive action.</w:t>
      </w:r>
    </w:p>
    <w:p>
      <w:r>
        <w:t>For routine scheduling, use an explainable 0–100 priority score. A proposed starting policy is 35% physical severity, 25% traffic and speed exposure, 15% vulnerable-user or critical-access context, 15% measured deterioration and recurrence, and 10% age relative to the service target. Normalize each input to 0–100 using a published mapping; save raw values, missing inputs, policy version and contributions. These weights are design proposals, not calibrated risk coefficients.</w:t>
      </w:r>
    </w:p>
    <w:p>
      <w:r>
        <w:t>Do not substitute zero for missing traffic or unknown depth. Use an approved conservative assumption or a priority interval and request the missing inspection. If uncertainty straddles a severity boundary, show the range and send it to review. Record every manual priority override with its author and reason.</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Priority</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Proposed operating response</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Evidence and governance</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P0 Critical</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Immediate operator alert; target acknowledgement within 15 minutes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Qualified operator decides protection, inspection and escalation under the owner's procedure</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P1 High</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Verification/assignment target within 4 hours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Planner sets repair deadline and traffic-management requirements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P2 Medium</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Inspection/assignment target within 2 working days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Combine with nearby compatible works when appropriate</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P3 Routine</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Include in the next approved maintenance plan</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Continue monitoring and promote if conditions worsen</w:t>
            </w:r>
          </w:p>
        </w:tc>
      </w:tr>
    </w:tbl>
    <w:p>
      <w:pPr>
        <w:spacing w:after="40"/>
      </w:pPr>
    </w:p>
    <w:p>
      <w:r>
        <w:t>These are candidate response targets, not promised repair completion times or legal service levels. Staff coverage, contractor capability and local rules must support the final values. Use owner-local calendars, holidays and on-call arrangements in the workflow engine.</w:t>
      </w:r>
    </w:p>
    <w:p>
      <w:pPr>
        <w:pStyle w:val="Heading2"/>
      </w:pPr>
      <w:r>
        <w:t>9.2 Segment condition and work packages</w:t>
      </w:r>
    </w:p>
    <w:p>
      <w:r>
        <w:t>Compute pothole count per observed lane-kilometre, affected area relative to observed pavement area, crack length or area by class, high-severity count, oldest unresolved hazard, recurrence, coverage percentage and survey age. Deduplicate repeated passes and overlapping footprints before aggregation. Unobserved parts remain unknown; never score them as healthy. Display a custom condition indicator only with its formula and coverage. Do not label it PCI unless the chosen standard's complete survey and calculation method is implemented and validated.</w:t>
      </w:r>
    </w:p>
    <w:p>
      <w:r>
        <w:t>Rank segments first by safety obligations and overdue critical work, then by severity distribution, exposure, deterioration and service requirements. A pavement engineer selects treatment type. Build repair packages using adjacency, travel time, material, crew skill, equipment, traffic restrictions and budget. Record the expected benefit, cost source and selected work. This supports prioritization without pretending that a pothole detector determines structural rehabilitation needs.</w:t>
      </w:r>
    </w:p>
    <w:p>
      <w:pPr>
        <w:pStyle w:val="Heading1"/>
      </w:pPr>
      <w:r>
        <w:t>10 Backend modules and persistence</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Module</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Owned responsibility</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Principal outputs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Identity and access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Organizations, roles, device identities and region scope</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Authorization decisions and audit principals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Regions and road registry</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Boundaries, road ownership, geometry versions and imports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Road/segment APIs and approved map versions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Devices and calibration</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Enrollment, sensor inventory, configuration and calibration validity</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Device status and measurement eligibility</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Capture and ingestion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Survey sessions, upload authorization, manifests and integrity</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Durable capture records and processing events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Detection orchestration</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Pipeline versions, jobs, retries and worker leases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Traceable asynchronous processing status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Geometry and localization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Sensor-derived measurements, reference frames and road candidates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Measurements, uncertainty and associations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Defects and review</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Observations, canonical assets, duplicate links and decisions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Confirmed defect episodes and evidence history</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Severity and priority</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Approved policies, score components and overrides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Versioned assessments and urgency actions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Maintenance and triggers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Work orders, assignment, timers, repair and verification</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Durable lifecycle transitions and escalations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Reports and integrations</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Snapshot exports and authorized external interfaces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Reproducible reports and delivery records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Audit and operations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Security events, provenance, health and retention</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Operational dashboards and audit trail</w:t>
            </w:r>
          </w:p>
        </w:tc>
      </w:tr>
    </w:tbl>
    <w:p>
      <w:pPr>
        <w:spacing w:after="40"/>
      </w:pPr>
    </w:p>
    <w:p>
      <w:r>
        <w:t>The Python workers implement the compute-intensive parts of geometry and inference. NestJS owns the domain transaction that accepts their results. Workers receive authenticated job references; they cannot directly close a maintenance case. Define a schema-versioned result contract shared through generated API clients or schema artifacts rather than manually duplicating types across languages.</w:t>
      </w:r>
    </w:p>
    <w:p>
      <w:pPr>
        <w:pStyle w:val="Heading2"/>
      </w:pPr>
      <w:r>
        <w:t>10.1 Core entities and relationships</w:t>
      </w: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Entity</w:t>
            </w:r>
          </w:p>
        </w:tc>
        <w:tc>
          <w:tcPr>
            <w:tcW w:type="dxa" w:w="74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Essential fields and relationships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organization and region</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Tenant ID, name, hierarchy, boundary, timezone and agency ownership rules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and road_version</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Internal ID, authority IDs, names, source ID, geometry, CRS, validity and provenance</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carriageway and segment</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version, direction, lane context, chainage start/end, geometry and analysis length</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device and calibration</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Vehicle, sensor serials, certificate, firmware, intrinsics/extrinsics, time model, valid dates and calibration evidence</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survey_session and media_chunk</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Device, route, timestamps, sequence range, object key, checksum, bytes and capture quality</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telemetry_sample</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Session, sensor time, UTC mapping, coordinate, fix type, covariance, correction age and IMU reference</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observation</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Immutable source frame/time, mask, predicted class, model/pipeline version, quality and road candidates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defect and defect_episode</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Stable asset, class, ground geometry, lifecycle, first/last seen, recurrence and observation links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measurement</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Observation/episode, value, unit, convention, method, uncertainty, quality status and calibration version</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assessment and review</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Severity, policy inputs, score contributions, reviewer changes, decisions and rationale</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work_order and verification</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Defect/segment scope, owner, crew, schedule, treatment, repair evidence and verifier outcome</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coverage, outbox, inbox and audit</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Observed geometry/time, quality reasons, delivery/idempotency records and attributable changes</w:t>
            </w:r>
          </w:p>
        </w:tc>
      </w:tr>
    </w:tbl>
    <w:p>
      <w:pPr>
        <w:spacing w:after="40"/>
      </w:pPr>
    </w:p>
    <w:p>
      <w:r>
        <w:t>One road has many geometry versions; one version has many segments; a segment can contain many defect episodes. Many observations can describe one episode. Measurements belong to their evidence and are not overwritten when the model changes. A work order can cover several defects and segments. Repair recurrence links episodes while preserving what was previously verified.</w:t>
      </w:r>
    </w:p>
    <w:p>
      <w:r>
        <w:t>Use UUIDs or equivalent stable IDs, UTC timestamps and explicit SI units. GeoJSON uses longitude then latitude. Keep image-pixel coordinates distinct from world geometry. A measurement record needs value/unit/method/status and an uncertainty definition, such as a 95% interval; a model confidence score is not that interval. Invalid and missing fields must have machine-readable reason codes.</w:t>
      </w:r>
    </w:p>
    <w:p>
      <w:r>
        <w:t>Index tenant, road version, lifecycle and event time; add PostGIS GiST indexes on relevant geometry. Partition high-volume telemetry and observation tables by time as load requires. Put media in object storage, not database blobs. Apply tenant isolation at every API/query boundary and database row-level rules where suitable. Maintain an append-only audit trail while implementing authorized data retention and deletion policies.</w:t>
      </w:r>
    </w:p>
    <w:p>
      <w:pPr>
        <w:pStyle w:val="Heading1"/>
      </w:pPr>
      <w:r>
        <w:t>11 Proposed application APIs and event contracts</w:t>
      </w:r>
    </w:p>
    <w:p>
      <w:r>
        <w:t>These endpoints are the project's proposed APIs. They are not claims that government portals expose matching interfaces. Publish them in OpenAPI with generated TypeScript/Python clients, versioned schemas, consistent errors, pagination, authorization rules and contract tests.</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Operation</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Proposed API</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Main behavior</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Enroll device</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/v1/devices/enroll</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One-time enrollment exchange and device identity binding</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Start survey</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/v1/surveys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Route, device, calibration and capture configuration</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Upload telemetry</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/v1/surveys/{id}/telemetry</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Validated ordered batches; MQTT adapter reaches the same ingestion contract</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Authorize media upload</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/v1/uploads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Return bounded multipart authorization and server-generated object key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Finalize upload</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/v1/uploads/{id}/complete</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Verify object integrity, create capture record and enqueue through outbox</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Inspect processing</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GET /v1/jobs/{id}</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Status, reasons, versions and eligible retry actions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Browse roads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GET /v1/roads and /v1/segments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Region/bounds filters, approved network version and coverage</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Render layers</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GET /v1/tiles/{layer}/{z}/{x}/{y}</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Authorized vector tiles with tenant/version-aware cache behavior</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Inspect defects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GET /v1/defects/{id}</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Evidence, measurements, uncertainty, assessments and lifecycle</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Submit review</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/v1/defects/{id}/reviews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Confirm/reject/merge proposal with expected record version</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Plan maintenance</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/v1/work-orders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Owner, scope, crew and approved due times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Repair and verify</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/v1/work-orders/{id}/repairs and /verifications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Evidence-backed state transitions with role separation</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Export report</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POST /v1/reports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Asynchronous immutable snapshot export and short-lived download authorization</w:t>
            </w:r>
          </w:p>
        </w:tc>
      </w:tr>
    </w:tbl>
    <w:p>
      <w:pPr>
        <w:spacing w:after="40"/>
      </w:pPr>
    </w:p>
    <w:p>
      <w:r>
        <w:t>Mutating requests carry an Idempotency-Key bound to tenant, operation and request hash. A repeated key with different content returns a conflict. Reviewer and maintenance transitions use an expected version or ETag so concurrent changes cannot silently overwrite each other. Validation failures are distinct from retryable capacity or network errors.</w:t>
      </w:r>
    </w:p>
    <w:p>
      <w:r>
        <w:t>Events include event_id, event_type, schema_version, tenant_id, entity_id, occurred_at, correlation_id and payload references. Suggested event types are capture.committed, detection.completed, defect.review_required, defect.confirmed, priority.changed, maintenance.overdue and repair.verification_required. Queue messages contain IDs and object references, not full clips or long-lived signed URLs.</w:t>
      </w:r>
    </w:p>
    <w:p>
      <w:r>
        <w:t xml:space="preserve">Require publisher confirms before marking an outbox delivery sent, and acknowledge consumer messages only after the processing transaction commits. Consumers write an inbox deduplication record with the domain mutation; producers write an outbox with the originating transaction. Configure and test at-least-once dead-letter transfer explicitly; it is not the quorum-queue default. Stable processing identity includes chunk, pipeline and model version. A new version creates a new result; a retry does not create another defect automatically. External callbacks require authentication, replay protection and independent validation of the requested transition. See </w:t>
      </w:r>
      <w:hyperlink r:id="rId59">
        <w:r>
          <w:rPr>
            <w:color w:val="186A83"/>
            <w:u w:val="single"/>
          </w:rPr>
          <w:t>RabbitMQ quorum-queue guarantees</w:t>
        </w:r>
      </w:hyperlink>
      <w:r>
        <w:t xml:space="preserve"> and the </w:t>
      </w:r>
      <w:hyperlink r:id="rId60">
        <w:r>
          <w:rPr>
            <w:color w:val="186A83"/>
            <w:u w:val="single"/>
          </w:rPr>
          <w:t>transactional outbox pattern</w:t>
        </w:r>
      </w:hyperlink>
      <w:r>
        <w:t>.</w:t>
      </w:r>
    </w:p>
    <w:p>
      <w:r>
        <w:t xml:space="preserve">Evidence upload authorizations are short-lived bearer capabilities. Use server-created unique keys, restrict size/content, validate checksums and prevent replacement of accepted evidence. Multipart uploads permit resumable transfer, but implementation behavior must be tested against the chosen S3-compatible storage. See </w:t>
      </w:r>
      <w:hyperlink r:id="rId61">
        <w:r>
          <w:rPr>
            <w:color w:val="186A83"/>
            <w:u w:val="single"/>
          </w:rPr>
          <w:t>multipart upload semantics</w:t>
        </w:r>
      </w:hyperlink>
      <w:r>
        <w:t xml:space="preserve"> and </w:t>
      </w:r>
      <w:hyperlink r:id="rId62">
        <w:r>
          <w:rPr>
            <w:color w:val="186A83"/>
            <w:u w:val="single"/>
          </w:rPr>
          <w:t>presigned URL behavior</w:t>
        </w:r>
      </w:hyperlink>
      <w:r>
        <w:t>.</w:t>
      </w:r>
    </w:p>
    <w:p>
      <w:pPr>
        <w:pStyle w:val="Heading1"/>
      </w:pPr>
      <w:r>
        <w:t>12 User screens and operational reports</w:t>
      </w: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Screen</w:t>
            </w:r>
          </w:p>
        </w:tc>
        <w:tc>
          <w:tcPr>
            <w:tcW w:type="dxa" w:w="74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Main workflow and visible information</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Operations overview</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Urgent hazards, review backlog, overdue works, survey freshness and fleet availability</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map</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Color plus labels/patterns for severity and coverage; filters for region, class, date and quality</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detail</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Identity, ownership, chainage strip, current/history views, drawings and segment condition</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Defect evidence</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Synchronized video/frame, mask, map location, dimensions, uncertainty and reviewer actions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Survey and fleet</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Route coverage, camera/GPS health, calibration, recording status and upload backlog</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Maintenance board</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Prioritized cases, work packages, assignment, repair records and verification status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Field PWA</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Assigned jobs, navigation handoff, offline notes/photos and explicit synchronization status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Administration</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Approved imports, policy versions, permissions, retention and integration credentials</w:t>
            </w:r>
          </w:p>
        </w:tc>
      </w:tr>
    </w:tbl>
    <w:p>
      <w:pPr>
        <w:spacing w:after="40"/>
      </w:pPr>
    </w:p>
    <w:p>
      <w:r>
        <w:t>The interface should show the capture date beside evidence, distinguish live position from historical observations, and label approximate measurements. Display an uncertainty circle/ellipse where useful. Offer keyboard-accessible lists and evidence controls alongside the map; color cannot be the only indication of priority. Use local-language labels and units appropriate to the operator.</w:t>
      </w:r>
    </w:p>
    <w:p>
      <w:r>
        <w:t>Provide four primary report products. A defect report includes road/name/owner, map, coordinates, chainage/lane, type, dimensions with unknowns, severity, urgency reasons and evidence provenance. A segment report includes condition distribution, observation coverage, survey date and unresolved work. A maintenance report includes ranked packages, treatment proposal, quantity/cost assumptions, assignments and outcomes. A data-quality report includes blind areas, sensor failures, calibration validity, missing location and model/reviewer disagreement.</w:t>
      </w:r>
    </w:p>
    <w:p>
      <w:r>
        <w:t>Support PDF for sharing, CSV/XLSX for approved tabular exports and GeoPackage or GeoJSON for permitted GIS exchange. Reports must be generated from a timestamped snapshot with road, model and policy versions so the same report can be reproduced. Redact faces and number plates in routine exports, enforce export permissions and include map-source attribution. Actual permission to redistribute each source layer controls what appears in a downloadable map.</w:t>
      </w:r>
    </w:p>
    <w:p>
      <w:pPr>
        <w:pStyle w:val="Heading1"/>
      </w:pPr>
      <w:r>
        <w:t>13 Infrastructure reliability and security</w:t>
      </w:r>
    </w:p>
    <w:p>
      <w:pPr>
        <w:pStyle w:val="Heading2"/>
      </w:pPr>
      <w:r>
        <w:t>13.1 Deployment boundary</w:t>
      </w:r>
    </w:p>
    <w:p>
      <w:r>
        <w:t xml:space="preserve">For the India precision-survey baseline, choose road-agency infrastructure or an appropriately qualified Indian-controlled provider after deployment-specific review. Keep fine geospatial data, processing and backups physically in India within the approved ownership and access boundary. Include raw surveys, derivatives, logs, GPU processing and workflow payloads. The DST clarification of 28 November 2022 addresses finer-than-threshold mapping data reaching non-Indian entity servers even within India, and describes 1 m horizontal and 3 m vertical positional thresholds at one RMSE. Selecting a foreign cloud's Indian region alone is therefore not a sufficient architecture decision. Source: </w:t>
      </w:r>
      <w:hyperlink r:id="rId63">
        <w:r>
          <w:rPr>
            <w:color w:val="186A83"/>
            <w:u w:val="single"/>
          </w:rPr>
          <w:t>DST geospatial clarification</w:t>
        </w:r>
      </w:hyperlink>
      <w:r>
        <w:t>.</w:t>
      </w:r>
    </w:p>
    <w:p>
      <w:r>
        <w:t xml:space="preserve">Capture eligibility is a separate question. The 15 February 2021 guidelines reserve terrestrial mobile mapping/Street View surveying and augmentation/CORS access to Indian entities; choosing coarse GPS does not automatically remove the mobile-mapping eligibility issue. Confirm how the rules apply to the actual legal entity, sensor products and data flows before procurement. Source: </w:t>
      </w:r>
      <w:hyperlink r:id="rId64">
        <w:r>
          <w:rPr>
            <w:color w:val="186A83"/>
            <w:u w:val="single"/>
          </w:rPr>
          <w:t>DST geospatial guidelines</w:t>
        </w:r>
      </w:hyperlink>
      <w:r>
        <w:t>, paragraphs 8(vi) to 8(ix).</w:t>
      </w:r>
    </w:p>
    <w:p>
      <w:r>
        <w:t>The simplest baseline hosts Next.js in the same approved environment. Vercel remains an option for suitable deployments or an approved public shell/coarsened product, with strict separation from restricted information. Do not send precise coordinates through global caching, server rendering, telemetry, support tools or error logs accidentally. Coordinate rounding alone is not a complete data-release policy. Reassess the boundary if deployment is outside India.</w:t>
      </w:r>
    </w:p>
    <w:p>
      <w:pPr>
        <w:pStyle w:val="Heading2"/>
      </w:pPr>
      <w:r>
        <w:t>13.2 Concrete production topology</w:t>
      </w:r>
    </w:p>
    <w:p>
      <w:r>
        <w:t>Run at least two stateless API instances behind a load balancer across separate failure domains. Run Next.js separately from the worker pools. Use highly available PostgreSQL/PostGIS with point-in-time recovery, replicated object storage and a tested second-site backup. Provide three RabbitMQ quorum members across failure domains; operate an MQTT service with an availability design suitable for the chosen broker. Keep Temporal service and persistence highly available, with separate activity workers. Dedicated GPU hosts process inference; CPU hosts handle decoding, imports, reporting and other work as profiling dictates.</w:t>
      </w:r>
    </w:p>
    <w:p>
      <w:r>
        <w:t>Use an existing supported container platform if the operator has one. Otherwise use a maintained managed container service or supervised VM/container deployment in the approved environment. Kubernetes and Kafka are not prerequisites for this fleet size. The procurement decision must include who operates databases, queues, certificates, patches, backups and out-of-hours incidents.</w:t>
      </w:r>
    </w:p>
    <w:p>
      <w:r>
        <w:t>Autoscale inference using oldest-job age and measured throughput, not CPU alone. Keep urgent candidates in a higher-priority queue without starving coverage processing. Batch central inference carefully; bound memory and execution time. A gateway ownership lease prevents two replicas from recording the same camera accidentally. If a component fails, preserve durable work and make degraded service visible.</w:t>
      </w:r>
    </w:p>
    <w:p>
      <w:pPr>
        <w:pStyle w:val="Heading2"/>
      </w:pPr>
      <w:r>
        <w:t>13.3 Failure behavior</w:t>
      </w: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Failure</w:t>
            </w:r>
          </w:p>
        </w:tc>
        <w:tc>
          <w:tcPr>
            <w:tcW w:type="dxa" w:w="74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Required system response</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Cellular outage</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Continue within bounded local capacity; upload later; show capture and upload times separately</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Device power loss</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Recover committed chunks/manifests; identify incomplete final chunk and missing sequences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Spool almost full</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Alert early; apply explicit retention policy; never silently discard critical unacknowledged evidence</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Corrupt or hostile media</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Quarantine, resource-limited decode, error reason and replacement request where possible</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Duplicate upload/job</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Return existing result or safely retry through durable idempotency records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GPU worker failure</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Retry unacknowledged work; bound attempts; dead-letter persistent failures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GNSS or clock degradation</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Preserve approximate observations; withhold affected precise measurements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Camera mount movement</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Flag calibration invalid; require check/recalibration before metric surveying</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Map source outage</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Continue using the last approved version; surface update failure</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Database loss</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Restore from tested backup/PITR procedure and reconcile durable object/queue state</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Repair dispute or recurrence</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Reopen or link a new episode; preserve original evidence and reviewer history</w:t>
            </w:r>
          </w:p>
        </w:tc>
      </w:tr>
    </w:tbl>
    <w:p>
      <w:pPr>
        <w:spacing w:after="40"/>
      </w:pPr>
    </w:p>
    <w:p>
      <w:r>
        <w:t>No system with finite device storage can promise unlimited loss-free recording during an indefinite outage. Define maximum supported offline duration, retention priority and auditable overflow behavior. Keep representative negative footage so bandwidth optimization does not remove evidence of missed detections.</w:t>
      </w:r>
    </w:p>
    <w:p>
      <w:pPr>
        <w:pStyle w:val="Heading2"/>
      </w:pPr>
      <w:r>
        <w:t>13.4 Access and evidence protection</w:t>
      </w:r>
    </w:p>
    <w:p>
      <w:r>
        <w:t>Use SSO/MFA, least-privilege roles and region-scoped access for administrators, reviewers, planners, crews and auditors. Separate human identity from device certificates. Rotate/revoke device credentials, sign software updates and retain rollback images. Use TLS, encryption at rest, managed secrets and private network access to cameras. Scan dependencies and container images, and test tenant isolation and object-storage authorization.</w:t>
      </w:r>
    </w:p>
    <w:p>
      <w:r>
        <w:t>Record who changed a coordinate, measurement, priority or work order and why. Preserve original media only under the approved retention policy; provide redacted derivatives for normal review and sharing. Implement source-camera authorization, notice/consent where applicable, restricted raw access and deletion processes. A content checksum establishes integrity against the retained manifest; it does not by itself prove that a scene or measurement is true.</w:t>
      </w:r>
    </w:p>
    <w:p>
      <w:r>
        <w:t xml:space="preserve">Use OpenTelemetry to connect capture, upload, job, review and work-order traces. Monitor missing sequences, survey coverage, frame quality, GNSS fix and correction age, clock drift, calibration status, spool usage, upload lag, queue age, inference failures, model drift and review backlog. Redact sensitive payloads from logs. See </w:t>
      </w:r>
      <w:hyperlink r:id="rId65">
        <w:r>
          <w:rPr>
            <w:color w:val="186A83"/>
            <w:u w:val="single"/>
          </w:rPr>
          <w:t>OpenTelemetry observability concepts</w:t>
        </w:r>
      </w:hyperlink>
      <w:r>
        <w:t>.</w:t>
      </w:r>
    </w:p>
    <w:p>
      <w:pPr>
        <w:pStyle w:val="Heading1"/>
      </w:pPr>
      <w:r>
        <w:t>14 Hardware capacity and cost model</w:t>
      </w:r>
    </w:p>
    <w:p>
      <w:pPr>
        <w:pStyle w:val="Heading2"/>
      </w:pPr>
      <w:r>
        <w:t>14.1 Hardware procurement tiers</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Tier</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Equipment</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Purchase acceptance criteria</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Detection fleet</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Fixed RGB camera, edge computer, GNSS, local storage and cellular modem</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Sustained readable road imagery, exposure timestamps, restart recovery and one offline shift</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Measurement fleet</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Synchronized stereo or purpose-built road profiler, RTK GNSS, IMU and rigid surveyed mount</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Required footprint/depth/location errors achieved over agreed speed, range and environment</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CCTV integration</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Conformant IP camera access, nearby gateway and surveyed reference points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Usable road ROI, codec compatibility, stable pose and permitted evidence access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Engineering inspection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Depth gauge/straightedge or reference profiler, independent survey equipment; GPR/cores where required</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Independent ground truth and traceable layer-thickness records</w:t>
            </w:r>
          </w:p>
        </w:tc>
      </w:tr>
    </w:tbl>
    <w:p>
      <w:pPr>
        <w:spacing w:after="40"/>
      </w:pPr>
    </w:p>
    <w:p>
      <w:r>
        <w:t>Specify camera shutter/exposure behavior, minimum road resolution, mounting rigidity, operating temperature, dust/water protection, safe electrical installation, GNSS antenna placement and storage endurance. Use controlled tests to decide between stereo and laser equipment. A generic sparse automotive LiDAR does not automatically resolve a shallow pothole at road speed. Do not buy an entire fleet before one representative rig passes measurement tests.</w:t>
      </w:r>
    </w:p>
    <w:p>
      <w:pPr>
        <w:pStyle w:val="Heading2"/>
      </w:pPr>
      <w:r>
        <w:t>14.2 Transparent sizing assumptions</w:t>
      </w:r>
    </w:p>
    <w:p>
      <w:r>
        <w:t>At an illustrative 4 Mb/s for six hours per day, one vehicle produces about 10.8 decimal GB of video per day. Twenty vehicles produce 216 GB/day, or 6.48 TB for 30 days, before replication, derivatives and overhead. Five fixed cameras at the same rate for 24 hours produce another 216 GB/day. Continuous raw storage for both sources therefore reaches about 12.96 TB per 30 days before overhead.</w:t>
      </w:r>
    </w:p>
    <w:p>
      <w:r>
        <w:t>The calculation is 0.45 × number of cameras × average Mb/s × hours per day = decimal GB/day. Event clips and representative coverage samples can reduce upload and central retention, but savings depend on measured duty cycle. For example, retaining 5% of vehicle bytes centrally would reduce 216 GB/day to 10.8 GB/day; 5% is an assumption, not an expected compression guarantee.</w:t>
      </w:r>
    </w:p>
    <w:p>
      <w:r>
        <w:t>For a 12-hour offline window at 4 Mb/s, recorded media is 21.6 GB per camera. A two-times sizing reserve gives 43.2 GB before software, telemetry, duplicate upload parts and other cameras. Choose storage capacity and endurance from the full rig workload, not this media-only number.</w:t>
      </w:r>
    </w:p>
    <w:p>
      <w:r>
        <w:t>At five selected inference frames/second, 20 simultaneous vehicles require 100 frames/second, and 50 require 250. This sampling rate is provisional: select by vehicle speed, visible ground length and required repeated views. A defect must remain observable in enough sampled frames; fixed sparse sampling can miss small hazards. Benchmark decoding, preprocessing, segmentation and geometry together. GPU count is the ceiling of required FPS divided by measured per-GPU end-to-end FPS at the target utilization, plus the agreed failure reserve.</w:t>
      </w:r>
    </w:p>
    <w:p>
      <w:r>
        <w:t>At ten GNSS samples/second, 20 vehicles surveying six hours generate 4.32 million position samples/day. Batch/partition raw telemetry and retain purpose-built downsampled trajectories for the dashboard. At 500 unique candidates/day and 30 seconds of review per candidate, review alone requires about 4.2 staff-hours/day, before difficult cases and field inspections. Measure this workload and plan staffing alongside GPU capacity.</w:t>
      </w:r>
    </w:p>
    <w:p>
      <w:pPr>
        <w:pStyle w:val="Heading2"/>
      </w:pPr>
      <w:r>
        <w:t>14.3 Budget structure</w:t>
      </w:r>
    </w:p>
    <w:p>
      <w:r>
        <w:t>Obtain quotes for camera/GNSS/IMU hardware, mounts and installation, edge computers, storage, SIM data, correction services, servers/GPU capacity, database/storage operation, map contracts, annotation, independent surveys, reviewers, support and maintenance. Separate one-time equipment from recurring operation. Compare three scenarios: mostly central inference, edge inference with evidence upload, and a smaller precision fleet supplementing a larger detection fleet.</w:t>
      </w:r>
    </w:p>
    <w:p>
      <w:r>
        <w:t>The recommended starting procurement is one validated precision rig plus one economical detection rig, using the same backend and evidence contract. Fleet expansion follows measured accuracy, bandwidth, staffing and total operating cost. Current provider prices were not used to manufacture a monthly bill; a meaningful quotation needs the actual location, service contracts, retention and hardware test results.</w:t>
      </w:r>
    </w:p>
    <w:p>
      <w:pPr>
        <w:pStyle w:val="Heading1"/>
      </w:pPr>
      <w:r>
        <w:t>15 Production acceptance and release plan</w:t>
      </w:r>
    </w:p>
    <w:p>
      <w:r>
        <w:t>All numeric criteria below are proposed requirements for agreement with the owner. They are not achieved performance. Define the supported speed, camera geometry, minimum defect dimensions, lighting/weather, sensor range and pavement types before evaluation. Report out-of-envelope observations separately rather than silently lowering the denominator.</w:t>
      </w: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Gate</w:t>
            </w:r>
          </w:p>
        </w:tc>
        <w:tc>
          <w:tcPr>
            <w:tcW w:type="dxa" w:w="74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Proposed acceptance target and test</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Hazard detection</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At least 95% recall and 90% precision for agreed hazardous potholes on independent local routes; report per-condition results and 95% confidence intervals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Other classes</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Per-class recall/precision and minimum observable size approved separately before enabling operational claims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False reports</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No more than 0.5 false canonical defects per surveyed lane-km on the agreed test set</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Footprint accuracy</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p95 length/width absolute error no greater than the larger of 30 mm or 10% of true dimension; separately report area error</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Depth accuracy</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p95 absolute error no greater than 10 mm in the certified envelope against independent reference measurements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Precise localization</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p95 horizontal error no greater than 0.5 m for the RTK-qualified tier; report map/carriageway association errors separately</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Time alignment</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p95 residual exposure-to-GNSS timing error no greater than 10 ms; test reconnects and clock jumps</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Asset association</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At most 2% duplicate confirmed assets and 1% erroneous merges on manually adjudicated repeat-pass cases</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Missing evidence</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Every invalid/unknown metric has a status and reason; no unknown depth is returned as zero</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Processing latency</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p95 eligible committed-upload to review availability within five minutes at contracted load; report capture-to-review separately</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Application operation</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Target 99.9% monthly API availability; define the measured endpoints, exclusions and error budget</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Recovery</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Proposed central RPO no greater than 15 minutes and RTO no greater than four hours, verified by restore exercise</w:t>
            </w:r>
          </w:p>
        </w:tc>
      </w:tr>
      <w:tr>
        <w:trPr>
          <w:cantSplit/>
        </w:trPr>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Field reliability</w:t>
            </w:r>
          </w:p>
        </w:tc>
        <w:tc>
          <w:tcPr>
            <w:tcW w:type="dxa" w:w="74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One full disconnected shift, power interruption, storage pressure, corrupt chunk and certificate expiry tests pass with reconciled evidence accounting</w:t>
            </w:r>
          </w:p>
        </w:tc>
      </w:tr>
      <w:tr>
        <w:trPr>
          <w:cantSplit/>
        </w:trPr>
        <w:tc>
          <w:tcPr>
            <w:tcW w:type="dxa" w:w="266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Security and workflow</w:t>
            </w:r>
          </w:p>
        </w:tc>
        <w:tc>
          <w:tcPr>
            <w:tcW w:type="dxa" w:w="74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Tenant isolation, unauthorized object access, concurrent review, duplicate event, escalation and repair/reopen tests pass</w:t>
            </w:r>
          </w:p>
        </w:tc>
      </w:tr>
    </w:tbl>
    <w:p>
      <w:pPr>
        <w:spacing w:after="40"/>
      </w:pPr>
    </w:p>
    <w:p>
      <w:r>
        <w:t>Measure both selective accuracy and the percentage of observations for which the system can provide a measurement. A system that withholds depth on nearly all holes must not claim success from the few easy examples. Agree minimum measurement availability by supported condition after hardware feasibility tests. Use independently checked reference instruments with documented uncertainty materially smaller than the 10 mm depth and 0.5 m horizontal error limits. Report p50/p95 errors, failure reasons, sample counts and uncertainty calibration; do not report mAP alone.</w:t>
      </w:r>
    </w:p>
    <w:p>
      <w:pPr>
        <w:pStyle w:val="Heading2"/>
      </w:pPr>
      <w:r>
        <w:t>15.1 Delivery stages with exit criteria</w:t>
      </w:r>
    </w:p>
    <w:tbl>
      <w:tblPr>
        <w:tblW w:type="auto" w:w="0"/>
        <w:jc w:val="center"/>
        <w:tblLayout w:type="fixed"/>
        <w:tblLook w:firstColumn="1" w:firstRow="1" w:lastColumn="0" w:lastRow="0" w:noHBand="0" w:noVBand="1" w:val="04A0"/>
      </w:tblPr>
      <w:tblGrid>
        <w:gridCol w:w="2016"/>
        <w:gridCol w:w="3240"/>
        <w:gridCol w:w="4824"/>
      </w:tblGrid>
      <w:tr>
        <w:trPr>
          <w:cantSplit/>
          <w:tblHeader/>
        </w:trPr>
        <w:tc>
          <w:tcPr>
            <w:tcW w:type="dxa" w:w="2016"/>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Stage</w:t>
            </w:r>
          </w:p>
        </w:tc>
        <w:tc>
          <w:tcPr>
            <w:tcW w:type="dxa" w:w="3240"/>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Indicative duration</w:t>
            </w:r>
          </w:p>
        </w:tc>
        <w:tc>
          <w:tcPr>
            <w:tcW w:type="dxa" w:w="4824"/>
            <w:vAlign w:val="center"/>
            <w:shd w:fill="193F55"/>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0" w:line="257" w:lineRule="auto"/>
            </w:pPr>
            <w:r>
              <w:rPr>
                <w:b/>
                <w:color w:val="FFFFFF"/>
                <w:sz w:val="20"/>
              </w:rPr>
              <w:t>Concrete deliverable and exit condition</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Definition and access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2–3 weeks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Selected owner/area, road data agreement, taxonomy, reference frames, data boundary and signed test protocol</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Sensor validation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3–5 weeks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One mounted rig, synchronized capture and independently measured accuracy; choose supported capabilities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Platform and data foundation</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4–6 weeks, partly parallel</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Road registry, device enrollment, durable ingestion, evidence storage, access control and reviewer UI</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Models and GIS integration</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5–8 weeks, partly parallel</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Local labeled data, benchmarked model, geolocation, association and coverage metrics</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Maintenance and operations</w:t>
            </w:r>
          </w:p>
        </w:tc>
        <w:tc>
          <w:tcPr>
            <w:tcW w:type="dxa" w:w="32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4–6 weeks, partly parallel</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Priority policy, work orders, verification, reports, monitoring, restore and security tests</w:t>
            </w:r>
          </w:p>
        </w:tc>
      </w:tr>
      <w:tr>
        <w:trPr>
          <w:cantSplit/>
        </w:trPr>
        <w:tc>
          <w:tcPr>
            <w:tcW w:type="dxa" w:w="2016"/>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Controlled field release</w:t>
            </w:r>
          </w:p>
        </w:tc>
        <w:tc>
          <w:tcPr>
            <w:tcW w:type="dxa" w:w="3240"/>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4–6 weeks</w:t>
            </w:r>
          </w:p>
        </w:tc>
        <w:tc>
          <w:tcPr>
            <w:tcW w:type="dxa" w:w="4824"/>
            <w:vAlign w:val="center"/>
            <w:shd w:fill="F0F5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0" w:line="257" w:lineRule="auto"/>
            </w:pPr>
            <w:r>
              <w:rPr>
                <w:sz w:val="20"/>
              </w:rPr>
              <w:t>Several routes/vehicles in shadow and assisted operation; acceptance evidence, operator training and support handover</w:t>
            </w:r>
          </w:p>
        </w:tc>
      </w:tr>
    </w:tbl>
    <w:p>
      <w:pPr>
        <w:spacing w:after="40"/>
      </w:pPr>
    </w:p>
    <w:p>
      <w:r>
        <w:t>A credible planning envelope is approximately five to seven months with parallel work by a suitably staffed team, after access and equipment are available. This is an estimate, not a commitment; seasonal testing, procurement, dataset quality and accuracy failures can extend it. Do not compress acceptance merely to meet a calendar date.</w:t>
      </w:r>
    </w:p>
    <w:p>
      <w:r>
        <w:t>The core team needs frontend and backend engineering, computer vision/ML engineering, geospatial/survey engineering, device integration, QA/SRE and a pavement engineer or road-owner specialist. Some roles can be shared, but geospatial measurement and pavement policy need accountable experts. Assign an operational owner for the deployed service and a data custodian for the road registry.</w:t>
      </w:r>
    </w:p>
    <w:p>
      <w:r>
        <w:t>Use CI gates for schema/contracts, meaningful unit/integration tests, tenant isolation, migrations, representative vision fixtures and inference-conversion parity. Use recorded sessions for deterministic replay and hardware-in-the-loop tests for acquisition. Production releases carry immutable artifact IDs, migration/rollback instructions and a model card. Canary a model or service on a bounded fleet cohort; stop or roll back on safety-relevant recall loss, merge errors or processing backlog.</w:t>
      </w:r>
    </w:p>
    <w:p>
      <w:pPr>
        <w:pStyle w:val="Heading1"/>
      </w:pPr>
      <w:r>
        <w:t>16 Decisions to close before implementation</w:t>
      </w:r>
    </w:p>
    <w:p>
      <w:r>
        <w:t>Confirm the country/state/city and responsible road owner; obtain road and drawing samples; define expected fleet/camera counts; identify which measurements are contractually required; agree the operating envelope and minimum useful defect size; and set retention, connectivity and staffing budgets. Choose a precision rig only after field metrology tests. Resolve exact model/dataset licenses and map storage/export rights. Approve the jurisdiction-specific hosting boundary and service responsibilities.</w:t>
      </w:r>
    </w:p>
    <w:p>
      <w:r>
        <w:t>The recommended implementation order is road registry and device evidence contracts, then calibrated capture and field ground truth, then detection/localization, followed by review and complete maintenance workflows. Keep production reliability and provenance in those foundations from the beginning. The resulting product can support day-to-day road maintenance because each report connects an observed defect to a known road, a qualified measurement, an accountable decision and a verified repair.</w:t>
      </w:r>
    </w:p>
    <w:p>
      <w:r>
        <w:t>Research notes: primary technical documentation, official government publications and dataset-author material were reviewed on 8 September 2026. Older publication dates are identified where material. Live service availability, commercial permissions and local data coverage must be validated during onboarding; no account, API entitlement or government data-sharing agreement was created for this report.</w:t>
      </w:r>
    </w:p>
    <w:p>
      <w:r>
        <w:t xml:space="preserve">Tooling note for a future Vercel deployment: the session reports Vercel CLI 59.11.2 as outdated. Strongly recommend upgrading with </w:t>
      </w:r>
      <w:r>
        <w:rPr>
          <w:rFonts w:ascii="Courier New" w:hAnsi="Courier New"/>
          <w:sz w:val="19"/>
        </w:rPr>
        <w:t>npm i -g vercel@latest</w:t>
      </w:r>
      <w:r>
        <w:t xml:space="preserve"> or </w:t>
      </w:r>
      <w:r>
        <w:rPr>
          <w:rFonts w:ascii="Courier New" w:hAnsi="Courier New"/>
          <w:sz w:val="19"/>
        </w:rPr>
        <w:t>pnpm add -g vercel@latest</w:t>
      </w:r>
      <w:r>
        <w:t xml:space="preserve"> before using it for deployment. No global CLI upgrade or deployment was performed as part of this design report.</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37B"/>
        <w:sz w:val="16"/>
      </w:rPr>
      <w:t xml:space="preserve">Road condition monitoring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color w:val="2536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rial" w:hAnsi="Arial"/>
      <w:b/>
      <w:bCs/>
      <w:color w:val="163B52"/>
      <w:sz w:val="34"/>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Arial" w:hAnsi="Arial"/>
      <w:b/>
      <w:bCs/>
      <w:color w:val="1D6C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5646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mozilla.org/en-US/docs/Web/API/MediaDevices/getUserMedia" TargetMode="External"/><Relationship Id="rId11" Type="http://schemas.openxmlformats.org/officeDocument/2006/relationships/hyperlink" Target="https://developer.mozilla.org/en-US/docs/Web/API/Geolocation_API" TargetMode="External"/><Relationship Id="rId12" Type="http://schemas.openxmlformats.org/officeDocument/2006/relationships/hyperlink" Target="https://developer.chrome.com/docs/web-platform/page-lifecycle-api" TargetMode="External"/><Relationship Id="rId13" Type="http://schemas.openxmlformats.org/officeDocument/2006/relationships/hyperlink" Target="https://www.onvif.org/profiles/profile-t/" TargetMode="External"/><Relationship Id="rId14" Type="http://schemas.openxmlformats.org/officeDocument/2006/relationships/hyperlink" Target="https://mediamtx.org/docs/publish/rtsp-cameras-and-servers" TargetMode="External"/><Relationship Id="rId15" Type="http://schemas.openxmlformats.org/officeDocument/2006/relationships/hyperlink" Target="https://mediamtx.org/docs/read/web-browsers" TargetMode="External"/><Relationship Id="rId16" Type="http://schemas.openxmlformats.org/officeDocument/2006/relationships/image" Target="media/image1.png"/><Relationship Id="rId17" Type="http://schemas.openxmlformats.org/officeDocument/2006/relationships/hyperlink" Target="https://docs.nestjs.com/modules" TargetMode="External"/><Relationship Id="rId18" Type="http://schemas.openxmlformats.org/officeDocument/2006/relationships/hyperlink" Target="https://nextjs.org/docs/app/getting-started/server-and-client-components" TargetMode="External"/><Relationship Id="rId19" Type="http://schemas.openxmlformats.org/officeDocument/2006/relationships/hyperlink" Target="https://docs.temporal.io/activities" TargetMode="External"/><Relationship Id="rId20" Type="http://schemas.openxmlformats.org/officeDocument/2006/relationships/hyperlink" Target="https://docs.temporal.io/production-deployment" TargetMode="External"/><Relationship Id="rId21" Type="http://schemas.openxmlformats.org/officeDocument/2006/relationships/hyperlink" Target="https://vercel.com/docs/workflows" TargetMode="External"/><Relationship Id="rId22" Type="http://schemas.openxmlformats.org/officeDocument/2006/relationships/hyperlink" Target="https://workflow-sdk.dev/docs/foundations/idempotency" TargetMode="External"/><Relationship Id="rId23" Type="http://schemas.openxmlformats.org/officeDocument/2006/relationships/hyperlink" Target="https://www.fhwa.dot.gov/publications/research/infrastructure/pavements/ltpp/13092/" TargetMode="External"/><Relationship Id="rId24" Type="http://schemas.openxmlformats.org/officeDocument/2006/relationships/hyperlink" Target="https://docs.opencv.org/4.x/d9/d0c/group__calib3d.html" TargetMode="External"/><Relationship Id="rId25" Type="http://schemas.openxmlformats.org/officeDocument/2006/relationships/hyperlink" Target="https://docs.opencv.org/4.x/d9/dab/tutorial_homography.html" TargetMode="External"/><Relationship Id="rId26" Type="http://schemas.openxmlformats.org/officeDocument/2006/relationships/hyperlink" Target="https://docs.stereolabs.com/docs/development/zed-sdk/modules/depth-sensing" TargetMode="External"/><Relationship Id="rId27" Type="http://schemas.openxmlformats.org/officeDocument/2006/relationships/hyperlink" Target="https://infotechnology.fhwa.dot.gov/ground-penetrating-radar-pavement-thickness/" TargetMode="External"/><Relationship Id="rId28" Type="http://schemas.openxmlformats.org/officeDocument/2006/relationships/hyperlink" Target="https://docs.ultralytics.com/tasks/segment/" TargetMode="External"/><Relationship Id="rId29" Type="http://schemas.openxmlformats.org/officeDocument/2006/relationships/hyperlink" Target="https://www.ultralytics.com/license" TargetMode="External"/><Relationship Id="rId30" Type="http://schemas.openxmlformats.org/officeDocument/2006/relationships/hyperlink" Target="https://github.com/roboflow/rf-detr" TargetMode="External"/><Relationship Id="rId31" Type="http://schemas.openxmlformats.org/officeDocument/2006/relationships/hyperlink" Target="https://github.com/open-mmlab/mmdetection/blob/main/configs/rtmdet/README.md" TargetMode="External"/><Relationship Id="rId32" Type="http://schemas.openxmlformats.org/officeDocument/2006/relationships/hyperlink" Target="https://github.com/open-mmlab/mmdetection/blob/main/LICENSE" TargetMode="External"/><Relationship Id="rId33" Type="http://schemas.openxmlformats.org/officeDocument/2006/relationships/hyperlink" Target="https://arxiv.org/abs/2209.08538" TargetMode="External"/><Relationship Id="rId34" Type="http://schemas.openxmlformats.org/officeDocument/2006/relationships/hyperlink" Target="https://figshare.com/articles/dataset/RDD2022_-_The_multi-national_Road_Damage_Dataset_released_through_CRDDC_2022/21431547" TargetMode="External"/><Relationship Id="rId35" Type="http://schemas.openxmlformats.org/officeDocument/2006/relationships/hyperlink" Target="https://api.figshare.com/v2/articles/21431547" TargetMode="External"/><Relationship Id="rId36" Type="http://schemas.openxmlformats.org/officeDocument/2006/relationships/hyperlink" Target="https://mlflow.org/docs/latest/ml/model-registry/" TargetMode="External"/><Relationship Id="rId37" Type="http://schemas.openxmlformats.org/officeDocument/2006/relationships/hyperlink" Target="https://docs.cvat.ai/docs/manual/" TargetMode="External"/><Relationship Id="rId38" Type="http://schemas.openxmlformats.org/officeDocument/2006/relationships/hyperlink" Target="https://docs.stereolabs.com/docs/development/zed-sdk/modules/global-localization/data-synchronization" TargetMode="External"/><Relationship Id="rId39" Type="http://schemas.openxmlformats.org/officeDocument/2006/relationships/hyperlink" Target="https://archive.gps.gov/systems/gps/performance/accuracy/" TargetMode="External"/><Relationship Id="rId40" Type="http://schemas.openxmlformats.org/officeDocument/2006/relationships/hyperlink" Target="https://www.surveyofindia.gov.in/webroot/UserFiles/files/Note%20on%20RTK%20and%20CORS.pdf" TargetMode="External"/><Relationship Id="rId41" Type="http://schemas.openxmlformats.org/officeDocument/2006/relationships/hyperlink" Target="https://project-osrm.org/docs/v5.24.0/api/#match-service" TargetMode="External"/><Relationship Id="rId42" Type="http://schemas.openxmlformats.org/officeDocument/2006/relationships/hyperlink" Target="https://postgis.net/docs/ST_DWithin.html" TargetMode="External"/><Relationship Id="rId43" Type="http://schemas.openxmlformats.org/officeDocument/2006/relationships/hyperlink" Target="https://postgis.net/docs/ST_LineLocatePoint.html" TargetMode="External"/><Relationship Id="rId44" Type="http://schemas.openxmlformats.org/officeDocument/2006/relationships/hyperlink" Target="https://postgis.net/docs/ST_Transform.html" TargetMode="External"/><Relationship Id="rId45" Type="http://schemas.openxmlformats.org/officeDocument/2006/relationships/image" Target="media/image2.png"/><Relationship Id="rId46" Type="http://schemas.openxmlformats.org/officeDocument/2006/relationships/hyperlink" Target="https://pmgsy.nic.in/sites/default/files/Press_Releases/PIB1800373_2.pdf" TargetMode="External"/><Relationship Id="rId47" Type="http://schemas.openxmlformats.org/officeDocument/2006/relationships/hyperlink" Target="https://onlinemaps.surveyofindia.gov.in/AboutPortal.aspx" TargetMode="External"/><Relationship Id="rId48" Type="http://schemas.openxmlformats.org/officeDocument/2006/relationships/hyperlink" Target="https://bhuvan.nrsc.gov.in/wiki/index.php/How_to_use_WMS_services" TargetMode="External"/><Relationship Id="rId49" Type="http://schemas.openxmlformats.org/officeDocument/2006/relationships/hyperlink" Target="https://bhuvan.nrsc.gov.in/terms.php" TargetMode="External"/><Relationship Id="rId50" Type="http://schemas.openxmlformats.org/officeDocument/2006/relationships/hyperlink" Target="https://www.data.gov.in/catalog/basic-road-statistics-india-2016-17" TargetMode="External"/><Relationship Id="rId51" Type="http://schemas.openxmlformats.org/officeDocument/2006/relationships/hyperlink" Target="https://www.pib.gov.in/Pressreleaseshare.aspx?PRID=1631119&amp;lang=2&amp;reg=48" TargetMode="External"/><Relationship Id="rId52" Type="http://schemas.openxmlformats.org/officeDocument/2006/relationships/hyperlink" Target="https://ksrec.kerala.gov.in/website/HomeController/rtrack" TargetMode="External"/><Relationship Id="rId53" Type="http://schemas.openxmlformats.org/officeDocument/2006/relationships/hyperlink" Target="https://operations.osmfoundation.org/policies/tiles/" TargetMode="External"/><Relationship Id="rId54" Type="http://schemas.openxmlformats.org/officeDocument/2006/relationships/hyperlink" Target="https://www.openstreetmap.org/copyright" TargetMode="External"/><Relationship Id="rId55" Type="http://schemas.openxmlformats.org/officeDocument/2006/relationships/hyperlink" Target="https://developers.google.com/maps/documentation/roads/policies" TargetMode="External"/><Relationship Id="rId56" Type="http://schemas.openxmlformats.org/officeDocument/2006/relationships/hyperlink" Target="https://developer.mappls.com/documentation/sdk/rest-apis/mappls-snap-to-road-v2-api/readme/" TargetMode="External"/><Relationship Id="rId57" Type="http://schemas.openxmlformats.org/officeDocument/2006/relationships/hyperlink" Target="https://about.mappls.com/api/terms-%26-conditions" TargetMode="External"/><Relationship Id="rId58" Type="http://schemas.openxmlformats.org/officeDocument/2006/relationships/hyperlink" Target="https://www.fhwa.dot.gov/publications/research/infrastructure/pavements/ltpp/13092/001.cfm" TargetMode="External"/><Relationship Id="rId59" Type="http://schemas.openxmlformats.org/officeDocument/2006/relationships/hyperlink" Target="https://www.rabbitmq.com/docs/quorum-queues" TargetMode="External"/><Relationship Id="rId60" Type="http://schemas.openxmlformats.org/officeDocument/2006/relationships/hyperlink" Target="https://docs.aws.amazon.com/prescriptive-guidance/latest/cloud-design-patterns/transactional-outbox.html" TargetMode="External"/><Relationship Id="rId61" Type="http://schemas.openxmlformats.org/officeDocument/2006/relationships/hyperlink" Target="https://docs.aws.amazon.com/AmazonS3/latest/userguide/mpuoverview.html" TargetMode="External"/><Relationship Id="rId62" Type="http://schemas.openxmlformats.org/officeDocument/2006/relationships/hyperlink" Target="https://docs.aws.amazon.com/AmazonS3/latest/userguide/using-presigned-url.html" TargetMode="External"/><Relationship Id="rId63" Type="http://schemas.openxmlformats.org/officeDocument/2006/relationships/hyperlink" Target="https://dst.gov.in/sites/default/files/DST%20OM%20dated%2028th%20November%202022.pdf" TargetMode="External"/><Relationship Id="rId64" Type="http://schemas.openxmlformats.org/officeDocument/2006/relationships/hyperlink" Target="https://dst.gov.in/sites/default/files/Final%20Approved%20Guidelines%20on%20Geospatial%20Data_0.pdf" TargetMode="External"/><Relationship Id="rId65" Type="http://schemas.openxmlformats.org/officeDocument/2006/relationships/hyperlink" Target="https://opentelemetry.io/docs/concepts/observability-pri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condition monitoring system design</dc:title>
  <dc:subject>Production architecture and implementation report</dc:subject>
  <dc:creator>Project planning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