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end-entity-requirements-document"/>
    <w:p>
      <w:pPr>
        <w:pStyle w:val="Heading1"/>
      </w:pPr>
      <w:r>
        <w:t xml:space="preserve">End Entity Requirements Document</w:t>
      </w:r>
    </w:p>
    <w:bookmarkStart w:id="20" w:name="genai-unified-chatbot-for-fpna-division"/>
    <w:p>
      <w:pPr>
        <w:pStyle w:val="Heading2"/>
      </w:pPr>
      <w:r>
        <w:t xml:space="preserve">GenAI Unified Chatbot for FPNA Division</w:t>
      </w:r>
    </w:p>
    <w:bookmarkEnd w:id="20"/>
    <w:bookmarkStart w:id="21" w:name="purpose"/>
    <w:p>
      <w:pPr>
        <w:pStyle w:val="Heading2"/>
      </w:pPr>
      <w:r>
        <w:t xml:space="preserve">1. Purpose</w:t>
      </w:r>
    </w:p>
    <w:p>
      <w:pPr>
        <w:pStyle w:val="FirstParagraph"/>
      </w:pPr>
      <w:r>
        <w:t xml:space="preserve">This document defines the end entity requirements for a GenAI powered unified chatbot for the FPNA division of a multinational bank. The objective is to provide a single conversational interface that enables finance users to retrieve insights from documents, databases, and existing Tableau dashboards in a secure, auditable, and compliant manner.</w:t>
      </w:r>
    </w:p>
    <w:p>
      <w:pPr>
        <w:pStyle w:val="BodyText"/>
      </w:pPr>
      <w:r>
        <w:t xml:space="preserve">This document focuses on what the system must do and why. It does not prescribe technical design or implementation details.</w:t>
      </w:r>
    </w:p>
    <w:bookmarkEnd w:id="21"/>
    <w:bookmarkStart w:id="24" w:name="scope"/>
    <w:p>
      <w:pPr>
        <w:pStyle w:val="Heading2"/>
      </w:pPr>
      <w:r>
        <w:t xml:space="preserve">2. Scope</w:t>
      </w:r>
    </w:p>
    <w:bookmarkStart w:id="22" w:name="in-scope"/>
    <w:p>
      <w:pPr>
        <w:pStyle w:val="Heading3"/>
      </w:pPr>
      <w:r>
        <w:t xml:space="preserve">In Scope</w:t>
      </w:r>
    </w:p>
    <w:p>
      <w:pPr>
        <w:pStyle w:val="Compact"/>
        <w:numPr>
          <w:ilvl w:val="0"/>
          <w:numId w:val="1001"/>
        </w:numPr>
      </w:pPr>
      <w:r>
        <w:t xml:space="preserve">Conversational chatbot interface for FPNA users</w:t>
      </w:r>
    </w:p>
    <w:p>
      <w:pPr>
        <w:pStyle w:val="Compact"/>
        <w:numPr>
          <w:ilvl w:val="0"/>
          <w:numId w:val="1001"/>
        </w:numPr>
      </w:pPr>
      <w:r>
        <w:t xml:space="preserve">Integration with internal tools:</w:t>
      </w:r>
    </w:p>
    <w:p>
      <w:pPr>
        <w:pStyle w:val="Compact"/>
        <w:numPr>
          <w:ilvl w:val="1"/>
          <w:numId w:val="1002"/>
        </w:numPr>
      </w:pPr>
      <w:r>
        <w:t xml:space="preserve">Document Search across approved repositories</w:t>
      </w:r>
    </w:p>
    <w:p>
      <w:pPr>
        <w:pStyle w:val="Compact"/>
        <w:numPr>
          <w:ilvl w:val="1"/>
          <w:numId w:val="1002"/>
        </w:numPr>
      </w:pPr>
      <w:r>
        <w:t xml:space="preserve">Database Query across curated finance data sources</w:t>
      </w:r>
    </w:p>
    <w:p>
      <w:pPr>
        <w:pStyle w:val="Compact"/>
        <w:numPr>
          <w:ilvl w:val="1"/>
          <w:numId w:val="1002"/>
        </w:numPr>
      </w:pPr>
      <w:r>
        <w:t xml:space="preserve">Tableau Search across existing dashboards</w:t>
      </w:r>
    </w:p>
    <w:p>
      <w:pPr>
        <w:pStyle w:val="Compact"/>
        <w:numPr>
          <w:ilvl w:val="0"/>
          <w:numId w:val="1001"/>
        </w:numPr>
      </w:pPr>
      <w:r>
        <w:t xml:space="preserve">Generation of answers with citations, charts, and structured insights</w:t>
      </w:r>
    </w:p>
    <w:p>
      <w:pPr>
        <w:pStyle w:val="Compact"/>
        <w:numPr>
          <w:ilvl w:val="0"/>
          <w:numId w:val="1001"/>
        </w:numPr>
      </w:pPr>
      <w:r>
        <w:t xml:space="preserve">Role based access control and audit logging</w:t>
      </w:r>
    </w:p>
    <w:bookmarkEnd w:id="22"/>
    <w:bookmarkStart w:id="23" w:name="out-of-scope"/>
    <w:p>
      <w:pPr>
        <w:pStyle w:val="Heading3"/>
      </w:pPr>
      <w:r>
        <w:t xml:space="preserve">Out of Scope</w:t>
      </w:r>
    </w:p>
    <w:p>
      <w:pPr>
        <w:pStyle w:val="Compact"/>
        <w:numPr>
          <w:ilvl w:val="0"/>
          <w:numId w:val="1003"/>
        </w:numPr>
      </w:pPr>
      <w:r>
        <w:t xml:space="preserve">Creation or modification of source data</w:t>
      </w:r>
    </w:p>
    <w:p>
      <w:pPr>
        <w:pStyle w:val="Compact"/>
        <w:numPr>
          <w:ilvl w:val="0"/>
          <w:numId w:val="1003"/>
        </w:numPr>
      </w:pPr>
      <w:r>
        <w:t xml:space="preserve">Development of new Tableau dashboards</w:t>
      </w:r>
    </w:p>
    <w:p>
      <w:pPr>
        <w:pStyle w:val="Compact"/>
        <w:numPr>
          <w:ilvl w:val="0"/>
          <w:numId w:val="1003"/>
        </w:numPr>
      </w:pPr>
      <w:r>
        <w:t xml:space="preserve">External data sourcing from non bank systems</w:t>
      </w:r>
    </w:p>
    <w:p>
      <w:pPr>
        <w:pStyle w:val="Compact"/>
        <w:numPr>
          <w:ilvl w:val="0"/>
          <w:numId w:val="1003"/>
        </w:numPr>
      </w:pPr>
      <w:r>
        <w:t xml:space="preserve">Autonomous decision making or financial posting</w:t>
      </w:r>
    </w:p>
    <w:bookmarkEnd w:id="23"/>
    <w:bookmarkEnd w:id="24"/>
    <w:bookmarkStart w:id="27" w:name="end-entities-and-stakeholders"/>
    <w:p>
      <w:pPr>
        <w:pStyle w:val="Heading2"/>
      </w:pPr>
      <w:r>
        <w:t xml:space="preserve">3. End Entities and Stakeholders</w:t>
      </w:r>
    </w:p>
    <w:bookmarkStart w:id="25" w:name="primary-end-users"/>
    <w:p>
      <w:pPr>
        <w:pStyle w:val="Heading3"/>
      </w:pPr>
      <w:r>
        <w:t xml:space="preserve">Primary End Users</w:t>
      </w:r>
    </w:p>
    <w:p>
      <w:pPr>
        <w:pStyle w:val="Compact"/>
        <w:numPr>
          <w:ilvl w:val="0"/>
          <w:numId w:val="1004"/>
        </w:numPr>
      </w:pPr>
      <w:r>
        <w:t xml:space="preserve">FPNA Analysts</w:t>
      </w:r>
    </w:p>
    <w:p>
      <w:pPr>
        <w:pStyle w:val="Compact"/>
        <w:numPr>
          <w:ilvl w:val="0"/>
          <w:numId w:val="1004"/>
        </w:numPr>
      </w:pPr>
      <w:r>
        <w:t xml:space="preserve">FPNA Managers</w:t>
      </w:r>
    </w:p>
    <w:p>
      <w:pPr>
        <w:pStyle w:val="Compact"/>
        <w:numPr>
          <w:ilvl w:val="0"/>
          <w:numId w:val="1004"/>
        </w:numPr>
      </w:pPr>
      <w:r>
        <w:t xml:space="preserve">Finance Leadership</w:t>
      </w:r>
    </w:p>
    <w:bookmarkEnd w:id="25"/>
    <w:bookmarkStart w:id="26" w:name="secondary-stakeholders"/>
    <w:p>
      <w:pPr>
        <w:pStyle w:val="Heading3"/>
      </w:pPr>
      <w:r>
        <w:t xml:space="preserve">Secondary Stakeholders</w:t>
      </w:r>
    </w:p>
    <w:p>
      <w:pPr>
        <w:pStyle w:val="Compact"/>
        <w:numPr>
          <w:ilvl w:val="0"/>
          <w:numId w:val="1005"/>
        </w:numPr>
      </w:pPr>
      <w:r>
        <w:t xml:space="preserve">Data Governance</w:t>
      </w:r>
    </w:p>
    <w:p>
      <w:pPr>
        <w:pStyle w:val="Compact"/>
        <w:numPr>
          <w:ilvl w:val="0"/>
          <w:numId w:val="1005"/>
        </w:numPr>
      </w:pPr>
      <w:r>
        <w:t xml:space="preserve">Information Security</w:t>
      </w:r>
    </w:p>
    <w:p>
      <w:pPr>
        <w:pStyle w:val="Compact"/>
        <w:numPr>
          <w:ilvl w:val="0"/>
          <w:numId w:val="1005"/>
        </w:numPr>
      </w:pPr>
      <w:r>
        <w:t xml:space="preserve">Model Risk Management</w:t>
      </w:r>
    </w:p>
    <w:p>
      <w:pPr>
        <w:pStyle w:val="Compact"/>
        <w:numPr>
          <w:ilvl w:val="0"/>
          <w:numId w:val="1005"/>
        </w:numPr>
      </w:pPr>
      <w:r>
        <w:t xml:space="preserve">Internal Audit</w:t>
      </w:r>
    </w:p>
    <w:p>
      <w:pPr>
        <w:pStyle w:val="Compact"/>
        <w:numPr>
          <w:ilvl w:val="0"/>
          <w:numId w:val="1005"/>
        </w:numPr>
      </w:pPr>
      <w:r>
        <w:t xml:space="preserve">Technology Operations</w:t>
      </w:r>
    </w:p>
    <w:bookmarkEnd w:id="26"/>
    <w:bookmarkEnd w:id="27"/>
    <w:bookmarkStart w:id="28" w:name="business-objectives"/>
    <w:p>
      <w:pPr>
        <w:pStyle w:val="Heading2"/>
      </w:pPr>
      <w:r>
        <w:t xml:space="preserve">4. Business Objectives</w:t>
      </w:r>
    </w:p>
    <w:p>
      <w:pPr>
        <w:pStyle w:val="Compact"/>
        <w:numPr>
          <w:ilvl w:val="0"/>
          <w:numId w:val="1006"/>
        </w:numPr>
      </w:pPr>
      <w:r>
        <w:t xml:space="preserve">Reduce time spent searching across multiple finance tools</w:t>
      </w:r>
    </w:p>
    <w:p>
      <w:pPr>
        <w:pStyle w:val="Compact"/>
        <w:numPr>
          <w:ilvl w:val="0"/>
          <w:numId w:val="1006"/>
        </w:numPr>
      </w:pPr>
      <w:r>
        <w:t xml:space="preserve">Improve consistency of financial insights and explanations</w:t>
      </w:r>
    </w:p>
    <w:p>
      <w:pPr>
        <w:pStyle w:val="Compact"/>
        <w:numPr>
          <w:ilvl w:val="0"/>
          <w:numId w:val="1006"/>
        </w:numPr>
      </w:pPr>
      <w:r>
        <w:t xml:space="preserve">Enable self service analytics through natural language</w:t>
      </w:r>
    </w:p>
    <w:p>
      <w:pPr>
        <w:pStyle w:val="Compact"/>
        <w:numPr>
          <w:ilvl w:val="0"/>
          <w:numId w:val="1006"/>
        </w:numPr>
      </w:pPr>
      <w:r>
        <w:t xml:space="preserve">Ensure traceability and explainability of generated responses</w:t>
      </w:r>
    </w:p>
    <w:p>
      <w:pPr>
        <w:pStyle w:val="Compact"/>
        <w:numPr>
          <w:ilvl w:val="0"/>
          <w:numId w:val="1006"/>
        </w:numPr>
      </w:pPr>
      <w:r>
        <w:t xml:space="preserve">Maintain compliance with banking regulatory expectations</w:t>
      </w:r>
    </w:p>
    <w:bookmarkEnd w:id="28"/>
    <w:bookmarkStart w:id="29" w:name="high-level-use-cases"/>
    <w:p>
      <w:pPr>
        <w:pStyle w:val="Heading2"/>
      </w:pPr>
      <w:r>
        <w:t xml:space="preserve">5. High Level Use Cases</w:t>
      </w:r>
    </w:p>
    <w:p>
      <w:pPr>
        <w:pStyle w:val="Compact"/>
        <w:numPr>
          <w:ilvl w:val="0"/>
          <w:numId w:val="1007"/>
        </w:numPr>
      </w:pPr>
      <w:r>
        <w:t xml:space="preserve">Ask questions on financial performance and receive charts and summaries</w:t>
      </w:r>
    </w:p>
    <w:p>
      <w:pPr>
        <w:pStyle w:val="Compact"/>
        <w:numPr>
          <w:ilvl w:val="0"/>
          <w:numId w:val="1007"/>
        </w:numPr>
      </w:pPr>
      <w:r>
        <w:t xml:space="preserve">Search policy or finance documents with verifiable citations</w:t>
      </w:r>
    </w:p>
    <w:p>
      <w:pPr>
        <w:pStyle w:val="Compact"/>
        <w:numPr>
          <w:ilvl w:val="0"/>
          <w:numId w:val="1007"/>
        </w:numPr>
      </w:pPr>
      <w:r>
        <w:t xml:space="preserve">Locate relevant Tableau dashboards using natural language</w:t>
      </w:r>
    </w:p>
    <w:p>
      <w:pPr>
        <w:pStyle w:val="Compact"/>
        <w:numPr>
          <w:ilvl w:val="0"/>
          <w:numId w:val="1007"/>
        </w:numPr>
      </w:pPr>
      <w:r>
        <w:t xml:space="preserve">Compare metrics across periods, regions, or business units</w:t>
      </w:r>
    </w:p>
    <w:p>
      <w:pPr>
        <w:pStyle w:val="Compact"/>
        <w:numPr>
          <w:ilvl w:val="0"/>
          <w:numId w:val="1007"/>
        </w:numPr>
      </w:pPr>
      <w:r>
        <w:t xml:space="preserve">Drill down from summary to source level information</w:t>
      </w:r>
    </w:p>
    <w:bookmarkEnd w:id="29"/>
    <w:bookmarkStart w:id="35" w:name="functional-requirements"/>
    <w:p>
      <w:pPr>
        <w:pStyle w:val="Heading2"/>
      </w:pPr>
      <w:r>
        <w:t xml:space="preserve">6. Functional Requirements</w:t>
      </w:r>
    </w:p>
    <w:bookmarkStart w:id="30" w:name="chatbot-interface"/>
    <w:p>
      <w:pPr>
        <w:pStyle w:val="Heading3"/>
      </w:pPr>
      <w:r>
        <w:t xml:space="preserve">6.1 Chatbot Interface</w:t>
      </w:r>
    </w:p>
    <w:p>
      <w:pPr>
        <w:pStyle w:val="Compact"/>
        <w:numPr>
          <w:ilvl w:val="0"/>
          <w:numId w:val="1008"/>
        </w:numPr>
      </w:pPr>
      <w:r>
        <w:t xml:space="preserve">The system shall provide a single conversational interface accessible via approved bank channels</w:t>
      </w:r>
    </w:p>
    <w:p>
      <w:pPr>
        <w:pStyle w:val="Compact"/>
        <w:numPr>
          <w:ilvl w:val="0"/>
          <w:numId w:val="1008"/>
        </w:numPr>
      </w:pPr>
      <w:r>
        <w:t xml:space="preserve">The system shall support natural language queries in business friendly terms</w:t>
      </w:r>
    </w:p>
    <w:p>
      <w:pPr>
        <w:pStyle w:val="Compact"/>
        <w:numPr>
          <w:ilvl w:val="0"/>
          <w:numId w:val="1008"/>
        </w:numPr>
      </w:pPr>
      <w:r>
        <w:t xml:space="preserve">The system shall allow follow up questions within the same context</w:t>
      </w:r>
    </w:p>
    <w:bookmarkEnd w:id="30"/>
    <w:bookmarkStart w:id="31" w:name="document-search"/>
    <w:p>
      <w:pPr>
        <w:pStyle w:val="Heading3"/>
      </w:pPr>
      <w:r>
        <w:t xml:space="preserve">6.2 Document Search</w:t>
      </w:r>
    </w:p>
    <w:p>
      <w:pPr>
        <w:pStyle w:val="Compact"/>
        <w:numPr>
          <w:ilvl w:val="0"/>
          <w:numId w:val="1009"/>
        </w:numPr>
      </w:pPr>
      <w:r>
        <w:t xml:space="preserve">The system shall search only approved and indexed document repositories</w:t>
      </w:r>
    </w:p>
    <w:p>
      <w:pPr>
        <w:pStyle w:val="Compact"/>
        <w:numPr>
          <w:ilvl w:val="0"/>
          <w:numId w:val="1009"/>
        </w:numPr>
      </w:pPr>
      <w:r>
        <w:t xml:space="preserve">The system shall return answers grounded in retrieved documents</w:t>
      </w:r>
    </w:p>
    <w:p>
      <w:pPr>
        <w:pStyle w:val="Compact"/>
        <w:numPr>
          <w:ilvl w:val="0"/>
          <w:numId w:val="1009"/>
        </w:numPr>
      </w:pPr>
      <w:r>
        <w:t xml:space="preserve">The system shall provide citations with document name, section, and timestamp</w:t>
      </w:r>
    </w:p>
    <w:p>
      <w:pPr>
        <w:pStyle w:val="Compact"/>
        <w:numPr>
          <w:ilvl w:val="0"/>
          <w:numId w:val="1009"/>
        </w:numPr>
      </w:pPr>
      <w:r>
        <w:t xml:space="preserve">The system shall prevent hallucinated responses when no source is found</w:t>
      </w:r>
    </w:p>
    <w:bookmarkEnd w:id="31"/>
    <w:bookmarkStart w:id="32" w:name="database-query-and-finance-insights"/>
    <w:p>
      <w:pPr>
        <w:pStyle w:val="Heading3"/>
      </w:pPr>
      <w:r>
        <w:t xml:space="preserve">6.3 Database Query and Finance Insights</w:t>
      </w:r>
    </w:p>
    <w:p>
      <w:pPr>
        <w:pStyle w:val="Compact"/>
        <w:numPr>
          <w:ilvl w:val="0"/>
          <w:numId w:val="1010"/>
        </w:numPr>
      </w:pPr>
      <w:r>
        <w:t xml:space="preserve">The system shall query curated finance data sources only</w:t>
      </w:r>
    </w:p>
    <w:p>
      <w:pPr>
        <w:pStyle w:val="Compact"/>
        <w:numPr>
          <w:ilvl w:val="0"/>
          <w:numId w:val="1010"/>
        </w:numPr>
      </w:pPr>
      <w:r>
        <w:t xml:space="preserve">The system shall generate structured outputs such as tables, summaries, and trends</w:t>
      </w:r>
    </w:p>
    <w:p>
      <w:pPr>
        <w:pStyle w:val="Compact"/>
        <w:numPr>
          <w:ilvl w:val="0"/>
          <w:numId w:val="1010"/>
        </w:numPr>
      </w:pPr>
      <w:r>
        <w:t xml:space="preserve">The system shall generate charts appropriate to the data type</w:t>
      </w:r>
    </w:p>
    <w:p>
      <w:pPr>
        <w:pStyle w:val="Compact"/>
        <w:numPr>
          <w:ilvl w:val="0"/>
          <w:numId w:val="1010"/>
        </w:numPr>
      </w:pPr>
      <w:r>
        <w:t xml:space="preserve">The system shall clearly label calculated metrics and assumptions</w:t>
      </w:r>
    </w:p>
    <w:bookmarkEnd w:id="32"/>
    <w:bookmarkStart w:id="33" w:name="tableau-search"/>
    <w:p>
      <w:pPr>
        <w:pStyle w:val="Heading3"/>
      </w:pPr>
      <w:r>
        <w:t xml:space="preserve">6.4 Tableau Search</w:t>
      </w:r>
    </w:p>
    <w:p>
      <w:pPr>
        <w:pStyle w:val="Compact"/>
        <w:numPr>
          <w:ilvl w:val="0"/>
          <w:numId w:val="1011"/>
        </w:numPr>
      </w:pPr>
      <w:r>
        <w:t xml:space="preserve">The system shall search existing Tableau dashboards using metadata and descriptions</w:t>
      </w:r>
    </w:p>
    <w:p>
      <w:pPr>
        <w:pStyle w:val="Compact"/>
        <w:numPr>
          <w:ilvl w:val="0"/>
          <w:numId w:val="1011"/>
        </w:numPr>
      </w:pPr>
      <w:r>
        <w:t xml:space="preserve">The system shall return dashboard links and relevant views</w:t>
      </w:r>
    </w:p>
    <w:p>
      <w:pPr>
        <w:pStyle w:val="Compact"/>
        <w:numPr>
          <w:ilvl w:val="0"/>
          <w:numId w:val="1011"/>
        </w:numPr>
      </w:pPr>
      <w:r>
        <w:t xml:space="preserve">The system shall not modify dashboards or underlying data</w:t>
      </w:r>
    </w:p>
    <w:bookmarkEnd w:id="33"/>
    <w:bookmarkStart w:id="34" w:name="tool-orchestration"/>
    <w:p>
      <w:pPr>
        <w:pStyle w:val="Heading3"/>
      </w:pPr>
      <w:r>
        <w:t xml:space="preserve">6.5 Tool Orchestration</w:t>
      </w:r>
    </w:p>
    <w:p>
      <w:pPr>
        <w:pStyle w:val="Compact"/>
        <w:numPr>
          <w:ilvl w:val="0"/>
          <w:numId w:val="1012"/>
        </w:numPr>
      </w:pPr>
      <w:r>
        <w:t xml:space="preserve">The system shall determine which internal tool to invoke based on user intent</w:t>
      </w:r>
    </w:p>
    <w:p>
      <w:pPr>
        <w:pStyle w:val="Compact"/>
        <w:numPr>
          <w:ilvl w:val="0"/>
          <w:numId w:val="1012"/>
        </w:numPr>
      </w:pPr>
      <w:r>
        <w:t xml:space="preserve">The system shall support multi tool responses when required</w:t>
      </w:r>
    </w:p>
    <w:p>
      <w:pPr>
        <w:pStyle w:val="Compact"/>
        <w:numPr>
          <w:ilvl w:val="0"/>
          <w:numId w:val="1012"/>
        </w:numPr>
      </w:pPr>
      <w:r>
        <w:t xml:space="preserve">The system shall expose tool usage transparently in the response</w:t>
      </w:r>
    </w:p>
    <w:bookmarkEnd w:id="34"/>
    <w:bookmarkEnd w:id="35"/>
    <w:bookmarkStart w:id="40" w:name="non-functional-requirements"/>
    <w:p>
      <w:pPr>
        <w:pStyle w:val="Heading2"/>
      </w:pPr>
      <w:r>
        <w:t xml:space="preserve">7. Non Functional Requirements</w:t>
      </w:r>
    </w:p>
    <w:bookmarkStart w:id="36" w:name="security"/>
    <w:p>
      <w:pPr>
        <w:pStyle w:val="Heading3"/>
      </w:pPr>
      <w:r>
        <w:t xml:space="preserve">7.1 Security</w:t>
      </w:r>
    </w:p>
    <w:p>
      <w:pPr>
        <w:pStyle w:val="Compact"/>
        <w:numPr>
          <w:ilvl w:val="0"/>
          <w:numId w:val="1013"/>
        </w:numPr>
      </w:pPr>
      <w:r>
        <w:t xml:space="preserve">The system shall enforce role based access control aligned with bank IAM</w:t>
      </w:r>
    </w:p>
    <w:p>
      <w:pPr>
        <w:pStyle w:val="Compact"/>
        <w:numPr>
          <w:ilvl w:val="0"/>
          <w:numId w:val="1013"/>
        </w:numPr>
      </w:pPr>
      <w:r>
        <w:t xml:space="preserve">The system shall ensure data access is consistent with existing entitlements</w:t>
      </w:r>
    </w:p>
    <w:p>
      <w:pPr>
        <w:pStyle w:val="Compact"/>
        <w:numPr>
          <w:ilvl w:val="0"/>
          <w:numId w:val="1013"/>
        </w:numPr>
      </w:pPr>
      <w:r>
        <w:t xml:space="preserve">The system shall not store sensitive data in prompts or responses</w:t>
      </w:r>
    </w:p>
    <w:bookmarkEnd w:id="36"/>
    <w:bookmarkStart w:id="37" w:name="compliance-and-governance"/>
    <w:p>
      <w:pPr>
        <w:pStyle w:val="Heading3"/>
      </w:pPr>
      <w:r>
        <w:t xml:space="preserve">7.2 Compliance and Governance</w:t>
      </w:r>
    </w:p>
    <w:p>
      <w:pPr>
        <w:pStyle w:val="Compact"/>
        <w:numPr>
          <w:ilvl w:val="0"/>
          <w:numId w:val="1014"/>
        </w:numPr>
      </w:pPr>
      <w:r>
        <w:t xml:space="preserve">The system shall support audit logging for all user interactions</w:t>
      </w:r>
    </w:p>
    <w:p>
      <w:pPr>
        <w:pStyle w:val="Compact"/>
        <w:numPr>
          <w:ilvl w:val="0"/>
          <w:numId w:val="1014"/>
        </w:numPr>
      </w:pPr>
      <w:r>
        <w:t xml:space="preserve">The system shall retain prompts, responses, and tool calls as per retention policy</w:t>
      </w:r>
    </w:p>
    <w:p>
      <w:pPr>
        <w:pStyle w:val="Compact"/>
        <w:numPr>
          <w:ilvl w:val="0"/>
          <w:numId w:val="1014"/>
        </w:numPr>
      </w:pPr>
      <w:r>
        <w:t xml:space="preserve">The system shall support explainability for AI generated outputs</w:t>
      </w:r>
    </w:p>
    <w:bookmarkEnd w:id="37"/>
    <w:bookmarkStart w:id="38" w:name="performance"/>
    <w:p>
      <w:pPr>
        <w:pStyle w:val="Heading3"/>
      </w:pPr>
      <w:r>
        <w:t xml:space="preserve">7.3 Performance</w:t>
      </w:r>
    </w:p>
    <w:p>
      <w:pPr>
        <w:pStyle w:val="Compact"/>
        <w:numPr>
          <w:ilvl w:val="0"/>
          <w:numId w:val="1015"/>
        </w:numPr>
      </w:pPr>
      <w:r>
        <w:t xml:space="preserve">The system shall respond within acceptable SLAs for interactive use</w:t>
      </w:r>
    </w:p>
    <w:p>
      <w:pPr>
        <w:pStyle w:val="Compact"/>
        <w:numPr>
          <w:ilvl w:val="0"/>
          <w:numId w:val="1015"/>
        </w:numPr>
      </w:pPr>
      <w:r>
        <w:t xml:space="preserve">The system shall handle concurrent FPNA user workloads</w:t>
      </w:r>
    </w:p>
    <w:bookmarkEnd w:id="38"/>
    <w:bookmarkStart w:id="39" w:name="reliability"/>
    <w:p>
      <w:pPr>
        <w:pStyle w:val="Heading3"/>
      </w:pPr>
      <w:r>
        <w:t xml:space="preserve">7.4 Reliability</w:t>
      </w:r>
    </w:p>
    <w:p>
      <w:pPr>
        <w:pStyle w:val="Compact"/>
        <w:numPr>
          <w:ilvl w:val="0"/>
          <w:numId w:val="1016"/>
        </w:numPr>
      </w:pPr>
      <w:r>
        <w:t xml:space="preserve">The system shall degrade gracefully if a downstream tool is unavailable</w:t>
      </w:r>
    </w:p>
    <w:p>
      <w:pPr>
        <w:pStyle w:val="Compact"/>
        <w:numPr>
          <w:ilvl w:val="0"/>
          <w:numId w:val="1016"/>
        </w:numPr>
      </w:pPr>
      <w:r>
        <w:t xml:space="preserve">The system shall provide clear error messages without exposing internal details</w:t>
      </w:r>
    </w:p>
    <w:bookmarkEnd w:id="39"/>
    <w:bookmarkEnd w:id="40"/>
    <w:bookmarkStart w:id="41" w:name="data-and-model-considerations"/>
    <w:p>
      <w:pPr>
        <w:pStyle w:val="Heading2"/>
      </w:pPr>
      <w:r>
        <w:t xml:space="preserve">8. Data and Model Considerations</w:t>
      </w:r>
    </w:p>
    <w:p>
      <w:pPr>
        <w:pStyle w:val="Compact"/>
        <w:numPr>
          <w:ilvl w:val="0"/>
          <w:numId w:val="1017"/>
        </w:numPr>
      </w:pPr>
      <w:r>
        <w:t xml:space="preserve">Only approved and curated data sources shall be used</w:t>
      </w:r>
    </w:p>
    <w:p>
      <w:pPr>
        <w:pStyle w:val="Compact"/>
        <w:numPr>
          <w:ilvl w:val="0"/>
          <w:numId w:val="1017"/>
        </w:numPr>
      </w:pPr>
      <w:r>
        <w:t xml:space="preserve">The model shall not be trained on proprietary bank data unless explicitly approved</w:t>
      </w:r>
    </w:p>
    <w:p>
      <w:pPr>
        <w:pStyle w:val="Compact"/>
        <w:numPr>
          <w:ilvl w:val="0"/>
          <w:numId w:val="1017"/>
        </w:numPr>
      </w:pPr>
      <w:r>
        <w:t xml:space="preserve">Model limitations and confidence boundaries shall be communicated to users</w:t>
      </w:r>
    </w:p>
    <w:p>
      <w:pPr>
        <w:pStyle w:val="Compact"/>
        <w:numPr>
          <w:ilvl w:val="0"/>
          <w:numId w:val="1017"/>
        </w:numPr>
      </w:pPr>
      <w:r>
        <w:t xml:space="preserve">Human judgement remains mandatory for decision making</w:t>
      </w:r>
    </w:p>
    <w:bookmarkEnd w:id="41"/>
    <w:bookmarkStart w:id="42" w:name="assumptions-and-constraints"/>
    <w:p>
      <w:pPr>
        <w:pStyle w:val="Heading2"/>
      </w:pPr>
      <w:r>
        <w:t xml:space="preserve">9. Assumptions and Constraints</w:t>
      </w:r>
    </w:p>
    <w:p>
      <w:pPr>
        <w:pStyle w:val="Compact"/>
        <w:numPr>
          <w:ilvl w:val="0"/>
          <w:numId w:val="1018"/>
        </w:numPr>
      </w:pPr>
      <w:r>
        <w:t xml:space="preserve">FPNA data sources are already governed and curated</w:t>
      </w:r>
    </w:p>
    <w:p>
      <w:pPr>
        <w:pStyle w:val="Compact"/>
        <w:numPr>
          <w:ilvl w:val="0"/>
          <w:numId w:val="1018"/>
        </w:numPr>
      </w:pPr>
      <w:r>
        <w:t xml:space="preserve">Tableau metadata quality is sufficient for search</w:t>
      </w:r>
    </w:p>
    <w:p>
      <w:pPr>
        <w:pStyle w:val="Compact"/>
        <w:numPr>
          <w:ilvl w:val="0"/>
          <w:numId w:val="1018"/>
        </w:numPr>
      </w:pPr>
      <w:r>
        <w:t xml:space="preserve">Users are trained on responsible AI usage</w:t>
      </w:r>
    </w:p>
    <w:p>
      <w:pPr>
        <w:pStyle w:val="Compact"/>
        <w:numPr>
          <w:ilvl w:val="0"/>
          <w:numId w:val="1018"/>
        </w:numPr>
      </w:pPr>
      <w:r>
        <w:t xml:space="preserve">Regulatory expectations may evolve over time</w:t>
      </w:r>
    </w:p>
    <w:bookmarkEnd w:id="42"/>
    <w:bookmarkStart w:id="43" w:name="risks-and-mitigations"/>
    <w:p>
      <w:pPr>
        <w:pStyle w:val="Heading2"/>
      </w:pPr>
      <w:r>
        <w:t xml:space="preserve">10. Risks and Mitigations</w:t>
      </w:r>
    </w:p>
    <w:p>
      <w:pPr>
        <w:pStyle w:val="Compact"/>
        <w:numPr>
          <w:ilvl w:val="0"/>
          <w:numId w:val="1019"/>
        </w:numPr>
      </w:pPr>
      <w:r>
        <w:t xml:space="preserve">Risk of incorrect interpretation of finance queries mitigated through validation rules</w:t>
      </w:r>
    </w:p>
    <w:p>
      <w:pPr>
        <w:pStyle w:val="Compact"/>
        <w:numPr>
          <w:ilvl w:val="0"/>
          <w:numId w:val="1019"/>
        </w:numPr>
      </w:pPr>
      <w:r>
        <w:t xml:space="preserve">Risk of over reliance on AI mitigated through disclaimers and user training</w:t>
      </w:r>
    </w:p>
    <w:p>
      <w:pPr>
        <w:pStyle w:val="Compact"/>
        <w:numPr>
          <w:ilvl w:val="0"/>
          <w:numId w:val="1019"/>
        </w:numPr>
      </w:pPr>
      <w:r>
        <w:t xml:space="preserve">Risk of data leakage mitigated through strict access controls</w:t>
      </w:r>
    </w:p>
    <w:bookmarkEnd w:id="43"/>
    <w:bookmarkStart w:id="44" w:name="acceptance-criteria"/>
    <w:p>
      <w:pPr>
        <w:pStyle w:val="Heading2"/>
      </w:pPr>
      <w:r>
        <w:t xml:space="preserve">11. Acceptance Criteria</w:t>
      </w:r>
    </w:p>
    <w:p>
      <w:pPr>
        <w:pStyle w:val="Compact"/>
        <w:numPr>
          <w:ilvl w:val="0"/>
          <w:numId w:val="1020"/>
        </w:numPr>
      </w:pPr>
      <w:r>
        <w:t xml:space="preserve">Users can retrieve document based answers with verifiable citations</w:t>
      </w:r>
    </w:p>
    <w:p>
      <w:pPr>
        <w:pStyle w:val="Compact"/>
        <w:numPr>
          <w:ilvl w:val="0"/>
          <w:numId w:val="1020"/>
        </w:numPr>
      </w:pPr>
      <w:r>
        <w:t xml:space="preserve">Users can obtain finance insights with charts from approved data sources</w:t>
      </w:r>
    </w:p>
    <w:p>
      <w:pPr>
        <w:pStyle w:val="Compact"/>
        <w:numPr>
          <w:ilvl w:val="0"/>
          <w:numId w:val="1020"/>
        </w:numPr>
      </w:pPr>
      <w:r>
        <w:t xml:space="preserve">Users can locate relevant Tableau dashboards via natural language</w:t>
      </w:r>
    </w:p>
    <w:p>
      <w:pPr>
        <w:pStyle w:val="Compact"/>
        <w:numPr>
          <w:ilvl w:val="0"/>
          <w:numId w:val="1020"/>
        </w:numPr>
      </w:pPr>
      <w:r>
        <w:t xml:space="preserve">All interactions are auditable and compliant</w:t>
      </w:r>
    </w:p>
    <w:bookmarkEnd w:id="44"/>
    <w:bookmarkStart w:id="45" w:name="success-metrics"/>
    <w:p>
      <w:pPr>
        <w:pStyle w:val="Heading2"/>
      </w:pPr>
      <w:r>
        <w:t xml:space="preserve">12. Success Metrics</w:t>
      </w:r>
    </w:p>
    <w:p>
      <w:pPr>
        <w:pStyle w:val="Compact"/>
        <w:numPr>
          <w:ilvl w:val="0"/>
          <w:numId w:val="1021"/>
        </w:numPr>
      </w:pPr>
      <w:r>
        <w:t xml:space="preserve">Reduction in time to insight for FPNA users</w:t>
      </w:r>
    </w:p>
    <w:p>
      <w:pPr>
        <w:pStyle w:val="Compact"/>
        <w:numPr>
          <w:ilvl w:val="0"/>
          <w:numId w:val="1021"/>
        </w:numPr>
      </w:pPr>
      <w:r>
        <w:t xml:space="preserve">Adoption rate across FPNA teams</w:t>
      </w:r>
    </w:p>
    <w:p>
      <w:pPr>
        <w:pStyle w:val="Compact"/>
        <w:numPr>
          <w:ilvl w:val="0"/>
          <w:numId w:val="1021"/>
        </w:numPr>
      </w:pPr>
      <w:r>
        <w:t xml:space="preserve">Accuracy and relevance of responses</w:t>
      </w:r>
    </w:p>
    <w:p>
      <w:pPr>
        <w:pStyle w:val="Compact"/>
        <w:numPr>
          <w:ilvl w:val="0"/>
          <w:numId w:val="1021"/>
        </w:numPr>
      </w:pPr>
      <w:r>
        <w:t xml:space="preserve">Audit and compliance approval without major findings</w:t>
      </w:r>
    </w:p>
    <w:p>
      <w:r>
        <w:pict>
          <v:rect style="width:0;height:1.5pt" o:hralign="center" o:hrstd="t" o:hr="t"/>
        </w:pict>
      </w:r>
    </w:p>
    <w:bookmarkEnd w:id="45"/>
    <w:bookmarkStart w:id="46" w:name="system-context-overview"/>
    <w:p>
      <w:pPr>
        <w:pStyle w:val="Heading2"/>
      </w:pPr>
      <w:r>
        <w:t xml:space="preserve">13. System Context Overview</w:t>
      </w:r>
    </w:p>
    <w:p>
      <w:pPr>
        <w:pStyle w:val="FirstParagraph"/>
      </w:pPr>
      <w:r>
        <w:t xml:space="preserve">The GenAI Unified Chatbot operates as an orchestration layer between FPNA users and approved internal systems. Users interact through a secured conversational interface. The chatbot performs intent detection and routes requests to Document Search, Database Query, or Tableau Search tools. Responses are consolidated and presented with appropriate explanations, citations, and visualizations.</w:t>
      </w:r>
    </w:p>
    <w:p>
      <w:pPr>
        <w:pStyle w:val="BodyText"/>
      </w:pPr>
      <w:r>
        <w:t xml:space="preserve">Key boundaries:</w:t>
      </w:r>
      <w:r>
        <w:t xml:space="preserve"> </w:t>
      </w:r>
      <w:r>
        <w:t xml:space="preserve">- User boundary: FPNA authenticated users</w:t>
      </w:r>
      <w:r>
        <w:t xml:space="preserve"> </w:t>
      </w:r>
      <w:r>
        <w:t xml:space="preserve">- AI boundary: GenAI orchestration and reasoning layer</w:t>
      </w:r>
      <w:r>
        <w:t xml:space="preserve"> </w:t>
      </w:r>
      <w:r>
        <w:t xml:space="preserve">- Tool boundary: Internal enterprise systems</w:t>
      </w:r>
      <w:r>
        <w:t xml:space="preserve"> </w:t>
      </w:r>
      <w:r>
        <w:t xml:space="preserve">- Governance boundary: Security, audit, and compliance controls</w:t>
      </w:r>
    </w:p>
    <w:bookmarkEnd w:id="46"/>
    <w:bookmarkStart w:id="47" w:name="high-level-data-flow"/>
    <w:p>
      <w:pPr>
        <w:pStyle w:val="Heading2"/>
      </w:pPr>
      <w:r>
        <w:t xml:space="preserve">14. High Level Data Flow</w:t>
      </w:r>
    </w:p>
    <w:p>
      <w:pPr>
        <w:pStyle w:val="Compact"/>
        <w:numPr>
          <w:ilvl w:val="0"/>
          <w:numId w:val="1022"/>
        </w:numPr>
      </w:pPr>
      <w:r>
        <w:t xml:space="preserve">User submits a natural language query</w:t>
      </w:r>
    </w:p>
    <w:p>
      <w:pPr>
        <w:pStyle w:val="Compact"/>
        <w:numPr>
          <w:ilvl w:val="0"/>
          <w:numId w:val="1022"/>
        </w:numPr>
      </w:pPr>
      <w:r>
        <w:t xml:space="preserve">Query is authenticated and authorized</w:t>
      </w:r>
    </w:p>
    <w:p>
      <w:pPr>
        <w:pStyle w:val="Compact"/>
        <w:numPr>
          <w:ilvl w:val="0"/>
          <w:numId w:val="1022"/>
        </w:numPr>
      </w:pPr>
      <w:r>
        <w:t xml:space="preserve">Intent is classified by the AI layer</w:t>
      </w:r>
    </w:p>
    <w:p>
      <w:pPr>
        <w:pStyle w:val="Compact"/>
        <w:numPr>
          <w:ilvl w:val="0"/>
          <w:numId w:val="1022"/>
        </w:numPr>
      </w:pPr>
      <w:r>
        <w:t xml:space="preserve">Relevant internal tool is invoked</w:t>
      </w:r>
    </w:p>
    <w:p>
      <w:pPr>
        <w:pStyle w:val="Compact"/>
        <w:numPr>
          <w:ilvl w:val="0"/>
          <w:numId w:val="1022"/>
        </w:numPr>
      </w:pPr>
      <w:r>
        <w:t xml:space="preserve">Data or documents are retrieved</w:t>
      </w:r>
    </w:p>
    <w:p>
      <w:pPr>
        <w:pStyle w:val="Compact"/>
        <w:numPr>
          <w:ilvl w:val="0"/>
          <w:numId w:val="1022"/>
        </w:numPr>
      </w:pPr>
      <w:r>
        <w:t xml:space="preserve">AI generates grounded response</w:t>
      </w:r>
    </w:p>
    <w:p>
      <w:pPr>
        <w:pStyle w:val="Compact"/>
        <w:numPr>
          <w:ilvl w:val="0"/>
          <w:numId w:val="1022"/>
        </w:numPr>
      </w:pPr>
      <w:r>
        <w:t xml:space="preserve">Response is logged for audit and monitoring</w:t>
      </w:r>
    </w:p>
    <w:bookmarkEnd w:id="47"/>
    <w:bookmarkStart w:id="48" w:name="tool-intent-classification-matrix"/>
    <w:p>
      <w:pPr>
        <w:pStyle w:val="Heading2"/>
      </w:pPr>
      <w:r>
        <w:t xml:space="preserve">15. Tool Intent Classification Matrix</w:t>
      </w:r>
    </w:p>
    <w:p>
      <w:pPr>
        <w:pStyle w:val="FirstParagraph"/>
      </w:pPr>
      <w:r>
        <w:t xml:space="preserve">Document Search:</w:t>
      </w:r>
      <w:r>
        <w:t xml:space="preserve"> </w:t>
      </w:r>
      <w:r>
        <w:t xml:space="preserve">- Queries referencing policies, definitions, guidelines, narratives</w:t>
      </w:r>
      <w:r>
        <w:t xml:space="preserve"> </w:t>
      </w:r>
      <w:r>
        <w:t xml:space="preserve">- Outputs include citations and source references</w:t>
      </w:r>
    </w:p>
    <w:p>
      <w:pPr>
        <w:pStyle w:val="BodyText"/>
      </w:pPr>
      <w:r>
        <w:t xml:space="preserve">Database Query:</w:t>
      </w:r>
      <w:r>
        <w:t xml:space="preserve"> </w:t>
      </w:r>
      <w:r>
        <w:t xml:space="preserve">- Queries requesting numeric metrics, trends, comparisons</w:t>
      </w:r>
      <w:r>
        <w:t xml:space="preserve"> </w:t>
      </w:r>
      <w:r>
        <w:t xml:space="preserve">- Outputs include tables, calculations, and charts</w:t>
      </w:r>
    </w:p>
    <w:p>
      <w:pPr>
        <w:pStyle w:val="BodyText"/>
      </w:pPr>
      <w:r>
        <w:t xml:space="preserve">Tableau Search:</w:t>
      </w:r>
      <w:r>
        <w:t xml:space="preserve"> </w:t>
      </w:r>
      <w:r>
        <w:t xml:space="preserve">- Queries asking for dashboards, reports, or visual summaries</w:t>
      </w:r>
      <w:r>
        <w:t xml:space="preserve"> </w:t>
      </w:r>
      <w:r>
        <w:t xml:space="preserve">- Outputs include dashboard links and view descriptions</w:t>
      </w:r>
    </w:p>
    <w:bookmarkEnd w:id="48"/>
    <w:bookmarkStart w:id="49" w:name="governance-and-control-requirements"/>
    <w:p>
      <w:pPr>
        <w:pStyle w:val="Heading2"/>
      </w:pPr>
      <w:r>
        <w:t xml:space="preserve">16. Governance and Control Requirements</w:t>
      </w:r>
    </w:p>
    <w:p>
      <w:pPr>
        <w:pStyle w:val="Compact"/>
        <w:numPr>
          <w:ilvl w:val="0"/>
          <w:numId w:val="1023"/>
        </w:numPr>
      </w:pPr>
      <w:r>
        <w:t xml:space="preserve">Human in the loop validation for critical insights</w:t>
      </w:r>
    </w:p>
    <w:p>
      <w:pPr>
        <w:pStyle w:val="Compact"/>
        <w:numPr>
          <w:ilvl w:val="0"/>
          <w:numId w:val="1023"/>
        </w:numPr>
      </w:pPr>
      <w:r>
        <w:t xml:space="preserve">Explicit disclaimers for AI generated summaries</w:t>
      </w:r>
    </w:p>
    <w:p>
      <w:pPr>
        <w:pStyle w:val="Compact"/>
        <w:numPr>
          <w:ilvl w:val="0"/>
          <w:numId w:val="1023"/>
        </w:numPr>
      </w:pPr>
      <w:r>
        <w:t xml:space="preserve">Continuous monitoring for bias and data drift</w:t>
      </w:r>
    </w:p>
    <w:p>
      <w:pPr>
        <w:pStyle w:val="Compact"/>
        <w:numPr>
          <w:ilvl w:val="0"/>
          <w:numId w:val="1023"/>
        </w:numPr>
      </w:pPr>
      <w:r>
        <w:t xml:space="preserve">Periodic review by Model Risk Management</w:t>
      </w:r>
    </w:p>
    <w:bookmarkEnd w:id="49"/>
    <w:bookmarkStart w:id="50" w:name="traceability-matrix"/>
    <w:p>
      <w:pPr>
        <w:pStyle w:val="Heading2"/>
      </w:pPr>
      <w:r>
        <w:t xml:space="preserve">17. Traceability Matrix</w:t>
      </w:r>
    </w:p>
    <w:p>
      <w:pPr>
        <w:pStyle w:val="FirstParagraph"/>
      </w:pPr>
      <w:r>
        <w:t xml:space="preserve">Each requirement in this document shall be traceable to:</w:t>
      </w:r>
      <w:r>
        <w:t xml:space="preserve"> </w:t>
      </w:r>
      <w:r>
        <w:t xml:space="preserve">- Business objective</w:t>
      </w:r>
      <w:r>
        <w:t xml:space="preserve"> </w:t>
      </w:r>
      <w:r>
        <w:t xml:space="preserve">- Functional capability</w:t>
      </w:r>
      <w:r>
        <w:t xml:space="preserve"> </w:t>
      </w:r>
      <w:r>
        <w:t xml:space="preserve">- Technical component</w:t>
      </w:r>
      <w:r>
        <w:t xml:space="preserve"> </w:t>
      </w:r>
      <w:r>
        <w:t xml:space="preserve">- Risk and control measure</w:t>
      </w:r>
    </w:p>
    <w:p>
      <w:pPr>
        <w:pStyle w:val="BodyText"/>
      </w:pPr>
      <w:r>
        <w:t xml:space="preserve">This traceability shall be maintained throughout design, build, and deployment phases.</w:t>
      </w:r>
    </w:p>
    <w:bookmarkEnd w:id="50"/>
    <w:bookmarkStart w:id="59" w:name="high-level-architecture-design-hld-draft"/>
    <w:p>
      <w:pPr>
        <w:pStyle w:val="Heading2"/>
      </w:pPr>
      <w:r>
        <w:t xml:space="preserve">18. High Level Architecture Design (HLD) – Draft</w:t>
      </w:r>
    </w:p>
    <w:bookmarkStart w:id="51" w:name="architecture-overview"/>
    <w:p>
      <w:pPr>
        <w:pStyle w:val="Heading3"/>
      </w:pPr>
      <w:r>
        <w:t xml:space="preserve">18.1 Architecture Overview</w:t>
      </w:r>
    </w:p>
    <w:p>
      <w:pPr>
        <w:pStyle w:val="FirstParagraph"/>
      </w:pPr>
      <w:r>
        <w:t xml:space="preserve">The GenAI Unified Chatbot follows a layered, service oriented architecture designed to meet scalability, security, and governance expectations of a multinational bank. The architecture separates user interaction, AI reasoning, tool execution, and data access concerns.</w:t>
      </w:r>
    </w:p>
    <w:p>
      <w:pPr>
        <w:pStyle w:val="BodyText"/>
      </w:pPr>
      <w:r>
        <w:t xml:space="preserve">The solution acts as an orchestration layer and does not replace existing finance systems. All authoritative data remains within existing platforms.</w:t>
      </w:r>
    </w:p>
    <w:bookmarkEnd w:id="51"/>
    <w:bookmarkStart w:id="52" w:name="logical-architecture-layers"/>
    <w:p>
      <w:pPr>
        <w:pStyle w:val="Heading3"/>
      </w:pPr>
      <w:r>
        <w:t xml:space="preserve">18.2 Logical Architecture Layers</w:t>
      </w:r>
    </w:p>
    <w:p>
      <w:pPr>
        <w:pStyle w:val="FirstParagraph"/>
      </w:pPr>
      <w:r>
        <w:t xml:space="preserve">User Interaction Layer:</w:t>
      </w:r>
      <w:r>
        <w:t xml:space="preserve"> </w:t>
      </w:r>
      <w:r>
        <w:t xml:space="preserve">- Web based or enterprise chat interface</w:t>
      </w:r>
      <w:r>
        <w:t xml:space="preserve"> </w:t>
      </w:r>
      <w:r>
        <w:t xml:space="preserve">- Integrated with bank SSO and identity provider</w:t>
      </w:r>
      <w:r>
        <w:t xml:space="preserve"> </w:t>
      </w:r>
      <w:r>
        <w:t xml:space="preserve">- Session management and conversation context handling</w:t>
      </w:r>
    </w:p>
    <w:p>
      <w:pPr>
        <w:pStyle w:val="BodyText"/>
      </w:pPr>
      <w:r>
        <w:t xml:space="preserve">GenAI Orchestration Layer:</w:t>
      </w:r>
      <w:r>
        <w:t xml:space="preserve"> </w:t>
      </w:r>
      <w:r>
        <w:t xml:space="preserve">- Natural language understanding and intent classification</w:t>
      </w:r>
      <w:r>
        <w:t xml:space="preserve"> </w:t>
      </w:r>
      <w:r>
        <w:t xml:space="preserve">- Context management across multi turn conversations</w:t>
      </w:r>
      <w:r>
        <w:t xml:space="preserve"> </w:t>
      </w:r>
      <w:r>
        <w:t xml:space="preserve">- Prompt management with policy guardrails</w:t>
      </w:r>
      <w:r>
        <w:t xml:space="preserve"> </w:t>
      </w:r>
      <w:r>
        <w:t xml:space="preserve">- Response synthesis and explanation generation</w:t>
      </w:r>
    </w:p>
    <w:p>
      <w:pPr>
        <w:pStyle w:val="BodyText"/>
      </w:pPr>
      <w:r>
        <w:t xml:space="preserve">Tool Integration Layer:</w:t>
      </w:r>
      <w:r>
        <w:t xml:space="preserve"> </w:t>
      </w:r>
      <w:r>
        <w:t xml:space="preserve">- Document Search Service connector</w:t>
      </w:r>
      <w:r>
        <w:t xml:space="preserve"> </w:t>
      </w:r>
      <w:r>
        <w:t xml:space="preserve">- Database Query Service connector</w:t>
      </w:r>
      <w:r>
        <w:t xml:space="preserve"> </w:t>
      </w:r>
      <w:r>
        <w:t xml:space="preserve">- Tableau Search Service connector</w:t>
      </w:r>
      <w:r>
        <w:t xml:space="preserve"> </w:t>
      </w:r>
      <w:r>
        <w:t xml:space="preserve">- Standardized request and response contracts</w:t>
      </w:r>
    </w:p>
    <w:p>
      <w:pPr>
        <w:pStyle w:val="BodyText"/>
      </w:pPr>
      <w:r>
        <w:t xml:space="preserve">Data and Platform Layer:</w:t>
      </w:r>
      <w:r>
        <w:t xml:space="preserve"> </w:t>
      </w:r>
      <w:r>
        <w:t xml:space="preserve">- Curated FPNA data marts and warehouses</w:t>
      </w:r>
      <w:r>
        <w:t xml:space="preserve"> </w:t>
      </w:r>
      <w:r>
        <w:t xml:space="preserve">- Approved document repositories</w:t>
      </w:r>
      <w:r>
        <w:t xml:space="preserve"> </w:t>
      </w:r>
      <w:r>
        <w:t xml:space="preserve">- Tableau Server or Tableau Cloud</w:t>
      </w:r>
    </w:p>
    <w:p>
      <w:pPr>
        <w:pStyle w:val="BodyText"/>
      </w:pPr>
      <w:r>
        <w:t xml:space="preserve">Governance and Control Layer:</w:t>
      </w:r>
      <w:r>
        <w:t xml:space="preserve"> </w:t>
      </w:r>
      <w:r>
        <w:t xml:space="preserve">- Audit logging and traceability</w:t>
      </w:r>
      <w:r>
        <w:t xml:space="preserve"> </w:t>
      </w:r>
      <w:r>
        <w:t xml:space="preserve">- Access control enforcement</w:t>
      </w:r>
      <w:r>
        <w:t xml:space="preserve"> </w:t>
      </w:r>
      <w:r>
        <w:t xml:space="preserve">- Monitoring and observability</w:t>
      </w:r>
      <w:r>
        <w:t xml:space="preserve"> </w:t>
      </w:r>
      <w:r>
        <w:t xml:space="preserve">- Model risk and compliance controls</w:t>
      </w:r>
    </w:p>
    <w:bookmarkEnd w:id="52"/>
    <w:bookmarkStart w:id="53" w:name="component-description"/>
    <w:p>
      <w:pPr>
        <w:pStyle w:val="Heading3"/>
      </w:pPr>
      <w:r>
        <w:t xml:space="preserve">18.3 Component Description</w:t>
      </w:r>
    </w:p>
    <w:p>
      <w:pPr>
        <w:pStyle w:val="FirstParagraph"/>
      </w:pPr>
      <w:r>
        <w:t xml:space="preserve">Chat UI:</w:t>
      </w:r>
      <w:r>
        <w:t xml:space="preserve"> </w:t>
      </w:r>
      <w:r>
        <w:t xml:space="preserve">- Provides conversational interface</w:t>
      </w:r>
      <w:r>
        <w:t xml:space="preserve"> </w:t>
      </w:r>
      <w:r>
        <w:t xml:space="preserve">- Displays tables, charts, citations, and links</w:t>
      </w:r>
    </w:p>
    <w:p>
      <w:pPr>
        <w:pStyle w:val="BodyText"/>
      </w:pPr>
      <w:r>
        <w:t xml:space="preserve">API Gateway:</w:t>
      </w:r>
      <w:r>
        <w:t xml:space="preserve"> </w:t>
      </w:r>
      <w:r>
        <w:t xml:space="preserve">- Secures inbound requests</w:t>
      </w:r>
      <w:r>
        <w:t xml:space="preserve"> </w:t>
      </w:r>
      <w:r>
        <w:t xml:space="preserve">- Applies rate limiting and request validation</w:t>
      </w:r>
    </w:p>
    <w:p>
      <w:pPr>
        <w:pStyle w:val="BodyText"/>
      </w:pPr>
      <w:r>
        <w:t xml:space="preserve">GenAI Engine:</w:t>
      </w:r>
      <w:r>
        <w:t xml:space="preserve"> </w:t>
      </w:r>
      <w:r>
        <w:t xml:space="preserve">- Hosts the large language model</w:t>
      </w:r>
      <w:r>
        <w:t xml:space="preserve"> </w:t>
      </w:r>
      <w:r>
        <w:t xml:space="preserve">- Applies grounding using retrieved data</w:t>
      </w:r>
      <w:r>
        <w:t xml:space="preserve"> </w:t>
      </w:r>
      <w:r>
        <w:t xml:space="preserve">- Prevents hallucination through retrieval first approach</w:t>
      </w:r>
    </w:p>
    <w:p>
      <w:pPr>
        <w:pStyle w:val="BodyText"/>
      </w:pPr>
      <w:r>
        <w:t xml:space="preserve">Intent Router:</w:t>
      </w:r>
      <w:r>
        <w:t xml:space="preserve"> </w:t>
      </w:r>
      <w:r>
        <w:t xml:space="preserve">- Determines tool invocation based on query intent</w:t>
      </w:r>
      <w:r>
        <w:t xml:space="preserve"> </w:t>
      </w:r>
      <w:r>
        <w:t xml:space="preserve">- Supports single or multi tool execution</w:t>
      </w:r>
    </w:p>
    <w:p>
      <w:pPr>
        <w:pStyle w:val="BodyText"/>
      </w:pPr>
      <w:r>
        <w:t xml:space="preserve">Tool Services:</w:t>
      </w:r>
      <w:r>
        <w:t xml:space="preserve"> </w:t>
      </w:r>
      <w:r>
        <w:t xml:space="preserve">- Document Search Service returns text chunks and metadata</w:t>
      </w:r>
      <w:r>
        <w:t xml:space="preserve"> </w:t>
      </w:r>
      <w:r>
        <w:t xml:space="preserve">- Database Query Service executes parameterized queries only</w:t>
      </w:r>
      <w:r>
        <w:t xml:space="preserve"> </w:t>
      </w:r>
      <w:r>
        <w:t xml:space="preserve">- Tableau Search Service retrieves dashboard metadata and links</w:t>
      </w:r>
    </w:p>
    <w:p>
      <w:pPr>
        <w:pStyle w:val="BodyText"/>
      </w:pPr>
      <w:r>
        <w:t xml:space="preserve">Visualization Service:</w:t>
      </w:r>
      <w:r>
        <w:t xml:space="preserve"> </w:t>
      </w:r>
      <w:r>
        <w:t xml:space="preserve">- Generates charts for finance data</w:t>
      </w:r>
      <w:r>
        <w:t xml:space="preserve"> </w:t>
      </w:r>
      <w:r>
        <w:t xml:space="preserve">- Ensures consistent formatting and labeling</w:t>
      </w:r>
    </w:p>
    <w:bookmarkEnd w:id="53"/>
    <w:bookmarkStart w:id="54" w:name="data-flow-at-high-level"/>
    <w:p>
      <w:pPr>
        <w:pStyle w:val="Heading3"/>
      </w:pPr>
      <w:r>
        <w:t xml:space="preserve">18.4 Data Flow at High Level</w:t>
      </w:r>
    </w:p>
    <w:p>
      <w:pPr>
        <w:pStyle w:val="Compact"/>
        <w:numPr>
          <w:ilvl w:val="0"/>
          <w:numId w:val="1024"/>
        </w:numPr>
      </w:pPr>
      <w:r>
        <w:t xml:space="preserve">User submits query via chat interface</w:t>
      </w:r>
    </w:p>
    <w:p>
      <w:pPr>
        <w:pStyle w:val="Compact"/>
        <w:numPr>
          <w:ilvl w:val="0"/>
          <w:numId w:val="1024"/>
        </w:numPr>
      </w:pPr>
      <w:r>
        <w:t xml:space="preserve">Request passes through API Gateway</w:t>
      </w:r>
    </w:p>
    <w:p>
      <w:pPr>
        <w:pStyle w:val="Compact"/>
        <w:numPr>
          <w:ilvl w:val="0"/>
          <w:numId w:val="1024"/>
        </w:numPr>
      </w:pPr>
      <w:r>
        <w:t xml:space="preserve">User identity and entitlements are validated</w:t>
      </w:r>
    </w:p>
    <w:p>
      <w:pPr>
        <w:pStyle w:val="Compact"/>
        <w:numPr>
          <w:ilvl w:val="0"/>
          <w:numId w:val="1024"/>
        </w:numPr>
      </w:pPr>
      <w:r>
        <w:t xml:space="preserve">GenAI Engine performs intent classification</w:t>
      </w:r>
    </w:p>
    <w:p>
      <w:pPr>
        <w:pStyle w:val="Compact"/>
        <w:numPr>
          <w:ilvl w:val="0"/>
          <w:numId w:val="1024"/>
        </w:numPr>
      </w:pPr>
      <w:r>
        <w:t xml:space="preserve">Relevant tool service is invoked</w:t>
      </w:r>
    </w:p>
    <w:p>
      <w:pPr>
        <w:pStyle w:val="Compact"/>
        <w:numPr>
          <w:ilvl w:val="0"/>
          <w:numId w:val="1024"/>
        </w:numPr>
      </w:pPr>
      <w:r>
        <w:t xml:space="preserve">Retrieved results are grounded into AI response</w:t>
      </w:r>
    </w:p>
    <w:p>
      <w:pPr>
        <w:pStyle w:val="Compact"/>
        <w:numPr>
          <w:ilvl w:val="0"/>
          <w:numId w:val="1024"/>
        </w:numPr>
      </w:pPr>
      <w:r>
        <w:t xml:space="preserve">Visualization and citations are attached</w:t>
      </w:r>
    </w:p>
    <w:p>
      <w:pPr>
        <w:pStyle w:val="Compact"/>
        <w:numPr>
          <w:ilvl w:val="0"/>
          <w:numId w:val="1024"/>
        </w:numPr>
      </w:pPr>
      <w:r>
        <w:t xml:space="preserve">Final response is returned to user</w:t>
      </w:r>
    </w:p>
    <w:p>
      <w:pPr>
        <w:pStyle w:val="Compact"/>
        <w:numPr>
          <w:ilvl w:val="0"/>
          <w:numId w:val="1024"/>
        </w:numPr>
      </w:pPr>
      <w:r>
        <w:t xml:space="preserve">Interaction is logged for audit</w:t>
      </w:r>
    </w:p>
    <w:bookmarkEnd w:id="54"/>
    <w:bookmarkStart w:id="55" w:name="security-architecture"/>
    <w:p>
      <w:pPr>
        <w:pStyle w:val="Heading3"/>
      </w:pPr>
      <w:r>
        <w:t xml:space="preserve">18.5 Security Architecture</w:t>
      </w:r>
    </w:p>
    <w:p>
      <w:pPr>
        <w:pStyle w:val="Compact"/>
        <w:numPr>
          <w:ilvl w:val="0"/>
          <w:numId w:val="1025"/>
        </w:numPr>
      </w:pPr>
      <w:r>
        <w:t xml:space="preserve">Integration with enterprise IAM for authentication</w:t>
      </w:r>
    </w:p>
    <w:p>
      <w:pPr>
        <w:pStyle w:val="Compact"/>
        <w:numPr>
          <w:ilvl w:val="0"/>
          <w:numId w:val="1025"/>
        </w:numPr>
      </w:pPr>
      <w:r>
        <w:t xml:space="preserve">Authorization enforced at tool and data source level</w:t>
      </w:r>
    </w:p>
    <w:p>
      <w:pPr>
        <w:pStyle w:val="Compact"/>
        <w:numPr>
          <w:ilvl w:val="0"/>
          <w:numId w:val="1025"/>
        </w:numPr>
      </w:pPr>
      <w:r>
        <w:t xml:space="preserve">No direct database access from the GenAI model</w:t>
      </w:r>
    </w:p>
    <w:p>
      <w:pPr>
        <w:pStyle w:val="Compact"/>
        <w:numPr>
          <w:ilvl w:val="0"/>
          <w:numId w:val="1025"/>
        </w:numPr>
      </w:pPr>
      <w:r>
        <w:t xml:space="preserve">Encryption in transit and at rest</w:t>
      </w:r>
    </w:p>
    <w:p>
      <w:pPr>
        <w:pStyle w:val="Compact"/>
        <w:numPr>
          <w:ilvl w:val="0"/>
          <w:numId w:val="1025"/>
        </w:numPr>
      </w:pPr>
      <w:r>
        <w:t xml:space="preserve">Prompt and response sanitization</w:t>
      </w:r>
    </w:p>
    <w:bookmarkEnd w:id="55"/>
    <w:bookmarkStart w:id="56" w:name="scalability-and-availability"/>
    <w:p>
      <w:pPr>
        <w:pStyle w:val="Heading3"/>
      </w:pPr>
      <w:r>
        <w:t xml:space="preserve">18.6 Scalability and Availability</w:t>
      </w:r>
    </w:p>
    <w:p>
      <w:pPr>
        <w:pStyle w:val="Compact"/>
        <w:numPr>
          <w:ilvl w:val="0"/>
          <w:numId w:val="1026"/>
        </w:numPr>
      </w:pPr>
      <w:r>
        <w:t xml:space="preserve">Stateless services with horizontal scaling</w:t>
      </w:r>
    </w:p>
    <w:p>
      <w:pPr>
        <w:pStyle w:val="Compact"/>
        <w:numPr>
          <w:ilvl w:val="0"/>
          <w:numId w:val="1026"/>
        </w:numPr>
      </w:pPr>
      <w:r>
        <w:t xml:space="preserve">Independent scaling of GenAI and tool services</w:t>
      </w:r>
    </w:p>
    <w:p>
      <w:pPr>
        <w:pStyle w:val="Compact"/>
        <w:numPr>
          <w:ilvl w:val="0"/>
          <w:numId w:val="1026"/>
        </w:numPr>
      </w:pPr>
      <w:r>
        <w:t xml:space="preserve">Caching of metadata and embeddings where permitted</w:t>
      </w:r>
    </w:p>
    <w:p>
      <w:pPr>
        <w:pStyle w:val="Compact"/>
        <w:numPr>
          <w:ilvl w:val="0"/>
          <w:numId w:val="1026"/>
        </w:numPr>
      </w:pPr>
      <w:r>
        <w:t xml:space="preserve">Graceful degradation on downstream failures</w:t>
      </w:r>
    </w:p>
    <w:bookmarkEnd w:id="56"/>
    <w:bookmarkStart w:id="57" w:name="deployment-view"/>
    <w:p>
      <w:pPr>
        <w:pStyle w:val="Heading3"/>
      </w:pPr>
      <w:r>
        <w:t xml:space="preserve">18.7 Deployment View</w:t>
      </w:r>
    </w:p>
    <w:p>
      <w:pPr>
        <w:pStyle w:val="Compact"/>
        <w:numPr>
          <w:ilvl w:val="0"/>
          <w:numId w:val="1027"/>
        </w:numPr>
      </w:pPr>
      <w:r>
        <w:t xml:space="preserve">Deployed within bank approved cloud or on premise environment</w:t>
      </w:r>
    </w:p>
    <w:p>
      <w:pPr>
        <w:pStyle w:val="Compact"/>
        <w:numPr>
          <w:ilvl w:val="0"/>
          <w:numId w:val="1027"/>
        </w:numPr>
      </w:pPr>
      <w:r>
        <w:t xml:space="preserve">Segregated environments for dev, test, and production</w:t>
      </w:r>
    </w:p>
    <w:p>
      <w:pPr>
        <w:pStyle w:val="Compact"/>
        <w:numPr>
          <w:ilvl w:val="0"/>
          <w:numId w:val="1027"/>
        </w:numPr>
      </w:pPr>
      <w:r>
        <w:t xml:space="preserve">CI CD pipeline with security and compliance gates</w:t>
      </w:r>
    </w:p>
    <w:bookmarkEnd w:id="57"/>
    <w:bookmarkStart w:id="58" w:name="key-architectural-decisions"/>
    <w:p>
      <w:pPr>
        <w:pStyle w:val="Heading3"/>
      </w:pPr>
      <w:r>
        <w:t xml:space="preserve">18.8 Key Architectural Decisions</w:t>
      </w:r>
    </w:p>
    <w:p>
      <w:pPr>
        <w:pStyle w:val="Compact"/>
        <w:numPr>
          <w:ilvl w:val="0"/>
          <w:numId w:val="1028"/>
        </w:numPr>
      </w:pPr>
      <w:r>
        <w:t xml:space="preserve">Retrieval augmented generation for all knowledge based answers</w:t>
      </w:r>
    </w:p>
    <w:p>
      <w:pPr>
        <w:pStyle w:val="Compact"/>
        <w:numPr>
          <w:ilvl w:val="0"/>
          <w:numId w:val="1028"/>
        </w:numPr>
      </w:pPr>
      <w:r>
        <w:t xml:space="preserve">Read only access to finance data sources</w:t>
      </w:r>
    </w:p>
    <w:p>
      <w:pPr>
        <w:pStyle w:val="Compact"/>
        <w:numPr>
          <w:ilvl w:val="0"/>
          <w:numId w:val="1028"/>
        </w:numPr>
      </w:pPr>
      <w:r>
        <w:t xml:space="preserve">Human judgement retained for decision making</w:t>
      </w:r>
    </w:p>
    <w:p>
      <w:pPr>
        <w:pStyle w:val="Compact"/>
        <w:numPr>
          <w:ilvl w:val="0"/>
          <w:numId w:val="1028"/>
        </w:numPr>
      </w:pPr>
      <w:r>
        <w:t xml:space="preserve">Clear separation between AI reasoning and data ownership</w:t>
      </w:r>
    </w:p>
    <w:bookmarkEnd w:id="58"/>
    <w:bookmarkEnd w:id="59"/>
    <w:bookmarkStart w:id="66" w:name="X55f80b8ee4f6f19ec6feac9d21e7cb71e3f89eb"/>
    <w:p>
      <w:pPr>
        <w:pStyle w:val="Heading2"/>
      </w:pPr>
      <w:r>
        <w:t xml:space="preserve">19. Model Risk and Responsible AI Appendix – FPNA Use Cases</w:t>
      </w:r>
    </w:p>
    <w:bookmarkStart w:id="60" w:name="model-purpose-and-classification"/>
    <w:p>
      <w:pPr>
        <w:pStyle w:val="Heading3"/>
      </w:pPr>
      <w:r>
        <w:t xml:space="preserve">19.1 Model Purpose and Classification</w:t>
      </w:r>
    </w:p>
    <w:p>
      <w:pPr>
        <w:pStyle w:val="Compact"/>
        <w:numPr>
          <w:ilvl w:val="0"/>
          <w:numId w:val="1029"/>
        </w:numPr>
      </w:pPr>
      <w:r>
        <w:t xml:space="preserve">The GenAI model is used for information retrieval, summarization, and analytical assistance</w:t>
      </w:r>
    </w:p>
    <w:p>
      <w:pPr>
        <w:pStyle w:val="Compact"/>
        <w:numPr>
          <w:ilvl w:val="0"/>
          <w:numId w:val="1029"/>
        </w:numPr>
      </w:pPr>
      <w:r>
        <w:t xml:space="preserve">The model does not perform automated decision making or financial postings</w:t>
      </w:r>
    </w:p>
    <w:p>
      <w:pPr>
        <w:pStyle w:val="Compact"/>
        <w:numPr>
          <w:ilvl w:val="0"/>
          <w:numId w:val="1029"/>
        </w:numPr>
      </w:pPr>
      <w:r>
        <w:t xml:space="preserve">Model risk classification is informational and decision support</w:t>
      </w:r>
    </w:p>
    <w:bookmarkEnd w:id="60"/>
    <w:bookmarkStart w:id="61" w:name="intended-and-prohibited-use"/>
    <w:p>
      <w:pPr>
        <w:pStyle w:val="Heading3"/>
      </w:pPr>
      <w:r>
        <w:t xml:space="preserve">19.2 Intended and Prohibited Use</w:t>
      </w:r>
    </w:p>
    <w:p>
      <w:pPr>
        <w:pStyle w:val="FirstParagraph"/>
      </w:pPr>
      <w:r>
        <w:t xml:space="preserve">Intended use:</w:t>
      </w:r>
      <w:r>
        <w:t xml:space="preserve"> </w:t>
      </w:r>
      <w:r>
        <w:t xml:space="preserve">- Querying finance data and documents</w:t>
      </w:r>
      <w:r>
        <w:t xml:space="preserve"> </w:t>
      </w:r>
      <w:r>
        <w:t xml:space="preserve">- Summarizing trends and variances</w:t>
      </w:r>
      <w:r>
        <w:t xml:space="preserve"> </w:t>
      </w:r>
      <w:r>
        <w:t xml:space="preserve">- Explaining metrics and dashboards</w:t>
      </w:r>
    </w:p>
    <w:p>
      <w:pPr>
        <w:pStyle w:val="BodyText"/>
      </w:pPr>
      <w:r>
        <w:t xml:space="preserve">Prohibited use:</w:t>
      </w:r>
      <w:r>
        <w:t xml:space="preserve"> </w:t>
      </w:r>
      <w:r>
        <w:t xml:space="preserve">- Final financial sign off</w:t>
      </w:r>
      <w:r>
        <w:t xml:space="preserve"> </w:t>
      </w:r>
      <w:r>
        <w:t xml:space="preserve">- Regulatory reporting submissions</w:t>
      </w:r>
      <w:r>
        <w:t xml:space="preserve"> </w:t>
      </w:r>
      <w:r>
        <w:t xml:space="preserve">- Trading or credit decisions</w:t>
      </w:r>
    </w:p>
    <w:bookmarkEnd w:id="61"/>
    <w:bookmarkStart w:id="62" w:name="explainability-and-transparency"/>
    <w:p>
      <w:pPr>
        <w:pStyle w:val="Heading3"/>
      </w:pPr>
      <w:r>
        <w:t xml:space="preserve">19.3 Explainability and Transparency</w:t>
      </w:r>
    </w:p>
    <w:p>
      <w:pPr>
        <w:pStyle w:val="Compact"/>
        <w:numPr>
          <w:ilvl w:val="0"/>
          <w:numId w:val="1030"/>
        </w:numPr>
      </w:pPr>
      <w:r>
        <w:t xml:space="preserve">All document based answers include citations</w:t>
      </w:r>
    </w:p>
    <w:p>
      <w:pPr>
        <w:pStyle w:val="Compact"/>
        <w:numPr>
          <w:ilvl w:val="0"/>
          <w:numId w:val="1030"/>
        </w:numPr>
      </w:pPr>
      <w:r>
        <w:t xml:space="preserve">All calculated metrics clearly state formulas and assumptions</w:t>
      </w:r>
    </w:p>
    <w:p>
      <w:pPr>
        <w:pStyle w:val="Compact"/>
        <w:numPr>
          <w:ilvl w:val="0"/>
          <w:numId w:val="1030"/>
        </w:numPr>
      </w:pPr>
      <w:r>
        <w:t xml:space="preserve">Users can trace responses back to source systems</w:t>
      </w:r>
    </w:p>
    <w:bookmarkEnd w:id="62"/>
    <w:bookmarkStart w:id="63" w:name="bias-and-accuracy-controls"/>
    <w:p>
      <w:pPr>
        <w:pStyle w:val="Heading3"/>
      </w:pPr>
      <w:r>
        <w:t xml:space="preserve">19.4 Bias and Accuracy Controls</w:t>
      </w:r>
    </w:p>
    <w:p>
      <w:pPr>
        <w:pStyle w:val="Compact"/>
        <w:numPr>
          <w:ilvl w:val="0"/>
          <w:numId w:val="1031"/>
        </w:numPr>
      </w:pPr>
      <w:r>
        <w:t xml:space="preserve">Use of curated FPNA data only</w:t>
      </w:r>
    </w:p>
    <w:p>
      <w:pPr>
        <w:pStyle w:val="Compact"/>
        <w:numPr>
          <w:ilvl w:val="0"/>
          <w:numId w:val="1031"/>
        </w:numPr>
      </w:pPr>
      <w:r>
        <w:t xml:space="preserve">Periodic validation of model outputs</w:t>
      </w:r>
    </w:p>
    <w:p>
      <w:pPr>
        <w:pStyle w:val="Compact"/>
        <w:numPr>
          <w:ilvl w:val="0"/>
          <w:numId w:val="1031"/>
        </w:numPr>
      </w:pPr>
      <w:r>
        <w:t xml:space="preserve">Human review for critical insights</w:t>
      </w:r>
    </w:p>
    <w:bookmarkEnd w:id="63"/>
    <w:bookmarkStart w:id="64" w:name="model-limitations"/>
    <w:p>
      <w:pPr>
        <w:pStyle w:val="Heading3"/>
      </w:pPr>
      <w:r>
        <w:t xml:space="preserve">19.5 Model Limitations</w:t>
      </w:r>
    </w:p>
    <w:p>
      <w:pPr>
        <w:pStyle w:val="Compact"/>
        <w:numPr>
          <w:ilvl w:val="0"/>
          <w:numId w:val="1032"/>
        </w:numPr>
      </w:pPr>
      <w:r>
        <w:t xml:space="preserve">Dependent on data quality of source systems</w:t>
      </w:r>
    </w:p>
    <w:p>
      <w:pPr>
        <w:pStyle w:val="Compact"/>
        <w:numPr>
          <w:ilvl w:val="0"/>
          <w:numId w:val="1032"/>
        </w:numPr>
      </w:pPr>
      <w:r>
        <w:t xml:space="preserve">Responses may vary for ambiguous queries</w:t>
      </w:r>
    </w:p>
    <w:p>
      <w:pPr>
        <w:pStyle w:val="Compact"/>
        <w:numPr>
          <w:ilvl w:val="0"/>
          <w:numId w:val="1032"/>
        </w:numPr>
      </w:pPr>
      <w:r>
        <w:t xml:space="preserve">Not a substitute for professional judgement</w:t>
      </w:r>
    </w:p>
    <w:bookmarkEnd w:id="64"/>
    <w:bookmarkStart w:id="65" w:name="ongoing-model-monitoring"/>
    <w:p>
      <w:pPr>
        <w:pStyle w:val="Heading3"/>
      </w:pPr>
      <w:r>
        <w:t xml:space="preserve">19.6 Ongoing Model Monitoring</w:t>
      </w:r>
    </w:p>
    <w:p>
      <w:pPr>
        <w:pStyle w:val="Compact"/>
        <w:numPr>
          <w:ilvl w:val="0"/>
          <w:numId w:val="1033"/>
        </w:numPr>
      </w:pPr>
      <w:r>
        <w:t xml:space="preserve">Accuracy and relevance checks</w:t>
      </w:r>
    </w:p>
    <w:p>
      <w:pPr>
        <w:pStyle w:val="Compact"/>
        <w:numPr>
          <w:ilvl w:val="0"/>
          <w:numId w:val="1033"/>
        </w:numPr>
      </w:pPr>
      <w:r>
        <w:t xml:space="preserve">Drift monitoring on query patterns</w:t>
      </w:r>
    </w:p>
    <w:p>
      <w:pPr>
        <w:pStyle w:val="Compact"/>
        <w:numPr>
          <w:ilvl w:val="0"/>
          <w:numId w:val="1033"/>
        </w:numPr>
      </w:pPr>
      <w:r>
        <w:t xml:space="preserve">Periodic MRM reviews</w:t>
      </w:r>
    </w:p>
    <w:bookmarkEnd w:id="65"/>
    <w:bookmarkEnd w:id="66"/>
    <w:bookmarkStart w:id="72" w:name="security-and-access-control-mapping"/>
    <w:p>
      <w:pPr>
        <w:pStyle w:val="Heading2"/>
      </w:pPr>
      <w:r>
        <w:t xml:space="preserve">20. Security and Access Control Mapping</w:t>
      </w:r>
    </w:p>
    <w:bookmarkStart w:id="67" w:name="identity-and-authentication"/>
    <w:p>
      <w:pPr>
        <w:pStyle w:val="Heading3"/>
      </w:pPr>
      <w:r>
        <w:t xml:space="preserve">20.1 Identity and Authentication</w:t>
      </w:r>
    </w:p>
    <w:p>
      <w:pPr>
        <w:pStyle w:val="Compact"/>
        <w:numPr>
          <w:ilvl w:val="0"/>
          <w:numId w:val="1034"/>
        </w:numPr>
      </w:pPr>
      <w:r>
        <w:t xml:space="preserve">Integrated with enterprise IAM</w:t>
      </w:r>
    </w:p>
    <w:p>
      <w:pPr>
        <w:pStyle w:val="Compact"/>
        <w:numPr>
          <w:ilvl w:val="0"/>
          <w:numId w:val="1034"/>
        </w:numPr>
      </w:pPr>
      <w:r>
        <w:t xml:space="preserve">Single sign on for all FPNA users</w:t>
      </w:r>
    </w:p>
    <w:p>
      <w:pPr>
        <w:pStyle w:val="Compact"/>
        <w:numPr>
          <w:ilvl w:val="0"/>
          <w:numId w:val="1034"/>
        </w:numPr>
      </w:pPr>
      <w:r>
        <w:t xml:space="preserve">Strong authentication as per bank policy</w:t>
      </w:r>
    </w:p>
    <w:bookmarkEnd w:id="67"/>
    <w:bookmarkStart w:id="68" w:name="authorization-and-entitlements"/>
    <w:p>
      <w:pPr>
        <w:pStyle w:val="Heading3"/>
      </w:pPr>
      <w:r>
        <w:t xml:space="preserve">20.2 Authorization and Entitlements</w:t>
      </w:r>
    </w:p>
    <w:p>
      <w:pPr>
        <w:pStyle w:val="Compact"/>
        <w:numPr>
          <w:ilvl w:val="0"/>
          <w:numId w:val="1035"/>
        </w:numPr>
      </w:pPr>
      <w:r>
        <w:t xml:space="preserve">Role based access aligned to FPNA roles</w:t>
      </w:r>
    </w:p>
    <w:p>
      <w:pPr>
        <w:pStyle w:val="Compact"/>
        <w:numPr>
          <w:ilvl w:val="0"/>
          <w:numId w:val="1035"/>
        </w:numPr>
      </w:pPr>
      <w:r>
        <w:t xml:space="preserve">Data access inherited from source systems</w:t>
      </w:r>
    </w:p>
    <w:p>
      <w:pPr>
        <w:pStyle w:val="Compact"/>
        <w:numPr>
          <w:ilvl w:val="0"/>
          <w:numId w:val="1035"/>
        </w:numPr>
      </w:pPr>
      <w:r>
        <w:t xml:space="preserve">No privilege escalation via chatbot</w:t>
      </w:r>
    </w:p>
    <w:bookmarkEnd w:id="68"/>
    <w:bookmarkStart w:id="69" w:name="data-domain-controls"/>
    <w:p>
      <w:pPr>
        <w:pStyle w:val="Heading3"/>
      </w:pPr>
      <w:r>
        <w:t xml:space="preserve">20.3 Data Domain Controls</w:t>
      </w:r>
    </w:p>
    <w:p>
      <w:pPr>
        <w:pStyle w:val="Compact"/>
        <w:numPr>
          <w:ilvl w:val="0"/>
          <w:numId w:val="1036"/>
        </w:numPr>
      </w:pPr>
      <w:r>
        <w:t xml:space="preserve">Finance data accessed only from approved domains</w:t>
      </w:r>
    </w:p>
    <w:p>
      <w:pPr>
        <w:pStyle w:val="Compact"/>
        <w:numPr>
          <w:ilvl w:val="0"/>
          <w:numId w:val="1036"/>
        </w:numPr>
      </w:pPr>
      <w:r>
        <w:t xml:space="preserve">Document repositories filtered by classification</w:t>
      </w:r>
    </w:p>
    <w:p>
      <w:pPr>
        <w:pStyle w:val="Compact"/>
        <w:numPr>
          <w:ilvl w:val="0"/>
          <w:numId w:val="1036"/>
        </w:numPr>
      </w:pPr>
      <w:r>
        <w:t xml:space="preserve">Tableau access mirrors existing permissions</w:t>
      </w:r>
    </w:p>
    <w:bookmarkEnd w:id="69"/>
    <w:bookmarkStart w:id="70" w:name="audit-and-logging"/>
    <w:p>
      <w:pPr>
        <w:pStyle w:val="Heading3"/>
      </w:pPr>
      <w:r>
        <w:t xml:space="preserve">20.4 Audit and Logging</w:t>
      </w:r>
    </w:p>
    <w:p>
      <w:pPr>
        <w:pStyle w:val="Compact"/>
        <w:numPr>
          <w:ilvl w:val="0"/>
          <w:numId w:val="1037"/>
        </w:numPr>
      </w:pPr>
      <w:r>
        <w:t xml:space="preserve">Full logging of user queries and responses</w:t>
      </w:r>
    </w:p>
    <w:p>
      <w:pPr>
        <w:pStyle w:val="Compact"/>
        <w:numPr>
          <w:ilvl w:val="0"/>
          <w:numId w:val="1037"/>
        </w:numPr>
      </w:pPr>
      <w:r>
        <w:t xml:space="preserve">Tool invocation logs retained</w:t>
      </w:r>
    </w:p>
    <w:p>
      <w:pPr>
        <w:pStyle w:val="Compact"/>
        <w:numPr>
          <w:ilvl w:val="0"/>
          <w:numId w:val="1037"/>
        </w:numPr>
      </w:pPr>
      <w:r>
        <w:t xml:space="preserve">Logs available for audit and compliance review</w:t>
      </w:r>
    </w:p>
    <w:bookmarkEnd w:id="70"/>
    <w:bookmarkStart w:id="71" w:name="threat-and-risk-considerations"/>
    <w:p>
      <w:pPr>
        <w:pStyle w:val="Heading3"/>
      </w:pPr>
      <w:r>
        <w:t xml:space="preserve">20.5 Threat and Risk Considerations</w:t>
      </w:r>
    </w:p>
    <w:p>
      <w:pPr>
        <w:pStyle w:val="Compact"/>
        <w:numPr>
          <w:ilvl w:val="0"/>
          <w:numId w:val="1038"/>
        </w:numPr>
      </w:pPr>
      <w:r>
        <w:t xml:space="preserve">Prompt injection protection</w:t>
      </w:r>
    </w:p>
    <w:p>
      <w:pPr>
        <w:pStyle w:val="Compact"/>
        <w:numPr>
          <w:ilvl w:val="0"/>
          <w:numId w:val="1038"/>
        </w:numPr>
      </w:pPr>
      <w:r>
        <w:t xml:space="preserve">Output filtering for sensitive information</w:t>
      </w:r>
    </w:p>
    <w:p>
      <w:pPr>
        <w:pStyle w:val="Compact"/>
        <w:numPr>
          <w:ilvl w:val="0"/>
          <w:numId w:val="1038"/>
        </w:numPr>
      </w:pPr>
      <w:r>
        <w:t xml:space="preserve">Regular security testing</w:t>
      </w:r>
    </w:p>
    <w:bookmarkEnd w:id="71"/>
    <w:bookmarkEnd w:id="72"/>
    <w:bookmarkStart w:id="78" w:name="X384c0fa78aa9b45afbcb11b0f9b554a3de526b1"/>
    <w:p>
      <w:pPr>
        <w:pStyle w:val="Heading2"/>
      </w:pPr>
      <w:r>
        <w:t xml:space="preserve">21. Operating Model – Support, Monitoring, and Change</w:t>
      </w:r>
    </w:p>
    <w:bookmarkStart w:id="73" w:name="support-model"/>
    <w:p>
      <w:pPr>
        <w:pStyle w:val="Heading3"/>
      </w:pPr>
      <w:r>
        <w:t xml:space="preserve">21.1 Support Model</w:t>
      </w:r>
    </w:p>
    <w:p>
      <w:pPr>
        <w:pStyle w:val="Compact"/>
        <w:numPr>
          <w:ilvl w:val="0"/>
          <w:numId w:val="1039"/>
        </w:numPr>
      </w:pPr>
      <w:r>
        <w:t xml:space="preserve">Tier 1 support for user issues</w:t>
      </w:r>
    </w:p>
    <w:p>
      <w:pPr>
        <w:pStyle w:val="Compact"/>
        <w:numPr>
          <w:ilvl w:val="0"/>
          <w:numId w:val="1039"/>
        </w:numPr>
      </w:pPr>
      <w:r>
        <w:t xml:space="preserve">Tier 2 support for tool and data issues</w:t>
      </w:r>
    </w:p>
    <w:p>
      <w:pPr>
        <w:pStyle w:val="Compact"/>
        <w:numPr>
          <w:ilvl w:val="0"/>
          <w:numId w:val="1039"/>
        </w:numPr>
      </w:pPr>
      <w:r>
        <w:t xml:space="preserve">Tier 3 support for AI platform issues</w:t>
      </w:r>
    </w:p>
    <w:bookmarkEnd w:id="73"/>
    <w:bookmarkStart w:id="74" w:name="monitoring-and-observability"/>
    <w:p>
      <w:pPr>
        <w:pStyle w:val="Heading3"/>
      </w:pPr>
      <w:r>
        <w:t xml:space="preserve">21.2 Monitoring and Observability</w:t>
      </w:r>
    </w:p>
    <w:p>
      <w:pPr>
        <w:pStyle w:val="Compact"/>
        <w:numPr>
          <w:ilvl w:val="0"/>
          <w:numId w:val="1040"/>
        </w:numPr>
      </w:pPr>
      <w:r>
        <w:t xml:space="preserve">Usage and adoption metrics</w:t>
      </w:r>
    </w:p>
    <w:p>
      <w:pPr>
        <w:pStyle w:val="Compact"/>
        <w:numPr>
          <w:ilvl w:val="0"/>
          <w:numId w:val="1040"/>
        </w:numPr>
      </w:pPr>
      <w:r>
        <w:t xml:space="preserve">Performance and latency monitoring</w:t>
      </w:r>
    </w:p>
    <w:p>
      <w:pPr>
        <w:pStyle w:val="Compact"/>
        <w:numPr>
          <w:ilvl w:val="0"/>
          <w:numId w:val="1040"/>
        </w:numPr>
      </w:pPr>
      <w:r>
        <w:t xml:space="preserve">Error and failure tracking</w:t>
      </w:r>
    </w:p>
    <w:bookmarkEnd w:id="74"/>
    <w:bookmarkStart w:id="75" w:name="incident-management"/>
    <w:p>
      <w:pPr>
        <w:pStyle w:val="Heading3"/>
      </w:pPr>
      <w:r>
        <w:t xml:space="preserve">21.3 Incident Management</w:t>
      </w:r>
    </w:p>
    <w:p>
      <w:pPr>
        <w:pStyle w:val="Compact"/>
        <w:numPr>
          <w:ilvl w:val="0"/>
          <w:numId w:val="1041"/>
        </w:numPr>
      </w:pPr>
      <w:r>
        <w:t xml:space="preserve">Defined incident severity levels</w:t>
      </w:r>
    </w:p>
    <w:p>
      <w:pPr>
        <w:pStyle w:val="Compact"/>
        <w:numPr>
          <w:ilvl w:val="0"/>
          <w:numId w:val="1041"/>
        </w:numPr>
      </w:pPr>
      <w:r>
        <w:t xml:space="preserve">Clear escalation paths</w:t>
      </w:r>
    </w:p>
    <w:p>
      <w:pPr>
        <w:pStyle w:val="Compact"/>
        <w:numPr>
          <w:ilvl w:val="0"/>
          <w:numId w:val="1041"/>
        </w:numPr>
      </w:pPr>
      <w:r>
        <w:t xml:space="preserve">Post incident reviews</w:t>
      </w:r>
    </w:p>
    <w:bookmarkEnd w:id="75"/>
    <w:bookmarkStart w:id="76" w:name="change-management"/>
    <w:p>
      <w:pPr>
        <w:pStyle w:val="Heading3"/>
      </w:pPr>
      <w:r>
        <w:t xml:space="preserve">21.4 Change Management</w:t>
      </w:r>
    </w:p>
    <w:p>
      <w:pPr>
        <w:pStyle w:val="Compact"/>
        <w:numPr>
          <w:ilvl w:val="0"/>
          <w:numId w:val="1042"/>
        </w:numPr>
      </w:pPr>
      <w:r>
        <w:t xml:space="preserve">Controlled onboarding of new data sources</w:t>
      </w:r>
    </w:p>
    <w:p>
      <w:pPr>
        <w:pStyle w:val="Compact"/>
        <w:numPr>
          <w:ilvl w:val="0"/>
          <w:numId w:val="1042"/>
        </w:numPr>
      </w:pPr>
      <w:r>
        <w:t xml:space="preserve">Versioned prompt and model updates</w:t>
      </w:r>
    </w:p>
    <w:p>
      <w:pPr>
        <w:pStyle w:val="Compact"/>
        <w:numPr>
          <w:ilvl w:val="0"/>
          <w:numId w:val="1042"/>
        </w:numPr>
      </w:pPr>
      <w:r>
        <w:t xml:space="preserve">Regression testing before release</w:t>
      </w:r>
    </w:p>
    <w:bookmarkEnd w:id="76"/>
    <w:bookmarkStart w:id="77" w:name="training-and-adoption"/>
    <w:p>
      <w:pPr>
        <w:pStyle w:val="Heading3"/>
      </w:pPr>
      <w:r>
        <w:t xml:space="preserve">21.5 Training and Adoption</w:t>
      </w:r>
    </w:p>
    <w:p>
      <w:pPr>
        <w:pStyle w:val="Compact"/>
        <w:numPr>
          <w:ilvl w:val="0"/>
          <w:numId w:val="1043"/>
        </w:numPr>
      </w:pPr>
      <w:r>
        <w:t xml:space="preserve">User training on responsible AI usage</w:t>
      </w:r>
    </w:p>
    <w:p>
      <w:pPr>
        <w:pStyle w:val="Compact"/>
        <w:numPr>
          <w:ilvl w:val="0"/>
          <w:numId w:val="1043"/>
        </w:numPr>
      </w:pPr>
      <w:r>
        <w:t xml:space="preserve">Documentation and usage guidelines</w:t>
      </w:r>
    </w:p>
    <w:p>
      <w:pPr>
        <w:pStyle w:val="Compact"/>
        <w:numPr>
          <w:ilvl w:val="0"/>
          <w:numId w:val="1043"/>
        </w:numPr>
      </w:pPr>
      <w:r>
        <w:t xml:space="preserve">Feedback loop for continuous improvement</w:t>
      </w:r>
    </w:p>
    <w:p>
      <w:pPr>
        <w:pStyle w:val="FirstParagraph"/>
      </w:pPr>
      <w:r>
        <w:t xml:space="preserve">End of Document</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2026-02-13T10:47:42Z</dcterms:created>
  <dcterms:modified xsi:type="dcterms:W3CDTF">2026-02-13T10:47:42Z</dcterms:modified>
</cp:coreProperties>
</file>

<file path=docProps/custom.xml><?xml version="1.0" encoding="utf-8"?>
<Properties xmlns="http://schemas.openxmlformats.org/officeDocument/2006/custom-properties" xmlns:vt="http://schemas.openxmlformats.org/officeDocument/2006/docPropsVTypes"/>
</file>