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27.png" ContentType="image/png"/>
  <Override PartName="/word/media/rId61.png" ContentType="image/png"/>
  <Override PartName="/word/media/rId31.png" ContentType="image/png"/>
  <Override PartName="/word/media/rId58.png" ContentType="image/png"/>
  <Override PartName="/word/media/rId64.png" ContentType="image/png"/>
  <Override PartName="/word/media/rId67.png" ContentType="image/png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8" w:name="X6dae35c5173e2289bf44a01b6aee76af4a6936d"/>
    <w:p>
      <w:pPr>
        <w:pStyle w:val="Heading1"/>
      </w:pPr>
      <w:r>
        <w:t xml:space="preserve">Machine Learning Based Buyer Segmentation and Investment Profiling for Real Estate Market Intelligence</w:t>
      </w:r>
    </w:p>
    <w:p>
      <w:pPr>
        <w:pStyle w:val="FirstParagraph"/>
      </w:pPr>
      <w:r>
        <w:rPr>
          <w:bCs/>
          <w:b/>
        </w:rPr>
        <w:t xml:space="preserve">Prepared for:</w:t>
      </w:r>
      <w:r>
        <w:t xml:space="preserve"> </w:t>
      </w:r>
      <w:r>
        <w:t xml:space="preserve">Parcl Co. Limited</w:t>
      </w:r>
      <w:r>
        <w:t xml:space="preserve"> </w:t>
      </w:r>
      <w:r>
        <w:rPr>
          <w:bCs/>
          <w:b/>
        </w:rPr>
        <w:t xml:space="preserve">Prepared as part of:</w:t>
      </w:r>
      <w:r>
        <w:t xml:space="preserve"> </w:t>
      </w:r>
      <w:r>
        <w:t xml:space="preserve">Unified Mentor Data Science Program</w:t>
      </w:r>
      <w:r>
        <w:t xml:space="preserve"> </w:t>
      </w:r>
      <w:r>
        <w:rPr>
          <w:bCs/>
          <w:b/>
        </w:rPr>
        <w:t xml:space="preserve">Author:</w:t>
      </w:r>
      <w:r>
        <w:t xml:space="preserve"> </w:t>
      </w:r>
      <w:r>
        <w:t xml:space="preserve">[Your Name]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July 2026</w:t>
      </w:r>
    </w:p>
    <w:p>
      <w:r>
        <w:pict>
          <v:rect style="width:0;height:1.5pt" o:hralign="center" o:hrstd="t" o:hr="t"/>
        </w:pic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Real estate companies serve a highly heterogeneous population of buyers — individual home</w:t>
      </w:r>
      <w:r>
        <w:t xml:space="preserve"> </w:t>
      </w:r>
      <w:r>
        <w:t xml:space="preserve">buyers, institutional and corporate investors, first-time buyers, and high-net-worth</w:t>
      </w:r>
      <w:r>
        <w:t xml:space="preserve"> </w:t>
      </w:r>
      <w:r>
        <w:t xml:space="preserve">individuals — yet frequently market and engage them uniformly. This project applies an</w:t>
      </w:r>
      <w:r>
        <w:t xml:space="preserve"> </w:t>
      </w:r>
      <w:r>
        <w:t xml:space="preserve">unsupervised machine-learning pipeline (K-Means and Hierarchical/Agglomerative clustering)</w:t>
      </w:r>
      <w:r>
        <w:t xml:space="preserve"> </w:t>
      </w:r>
      <w:r>
        <w:t xml:space="preserve">to a Parcl client base of 2,000 buyers and 10,000 property transactions in order to discover</w:t>
      </w:r>
      <w:r>
        <w:t xml:space="preserve"> </w:t>
      </w:r>
      <w:r>
        <w:t xml:space="preserve">natural buyer segments, profile their investment behaviour, and translate the resulting</w:t>
      </w:r>
      <w:r>
        <w:t xml:space="preserve"> </w:t>
      </w:r>
      <w:r>
        <w:t xml:space="preserve">clusters into actionable go-to-market recommendations. Four data-driven segments were</w:t>
      </w:r>
      <w:r>
        <w:t xml:space="preserve"> </w:t>
      </w:r>
      <w:r>
        <w:t xml:space="preserve">identified —</w:t>
      </w:r>
      <w:r>
        <w:t xml:space="preserve"> </w:t>
      </w:r>
      <w:r>
        <w:rPr>
          <w:bCs/>
          <w:b/>
        </w:rPr>
        <w:t xml:space="preserve">Global Investors</w:t>
      </w:r>
      <w:r>
        <w:t xml:space="preserve">,</w:t>
      </w:r>
      <w:r>
        <w:t xml:space="preserve"> </w:t>
      </w:r>
      <w:r>
        <w:rPr>
          <w:bCs/>
          <w:b/>
        </w:rPr>
        <w:t xml:space="preserve">Personal-Use Buyers</w:t>
      </w:r>
      <w:r>
        <w:t xml:space="preserve">,</w:t>
      </w:r>
      <w:r>
        <w:t xml:space="preserve"> </w:t>
      </w:r>
      <w:r>
        <w:rPr>
          <w:bCs/>
          <w:b/>
        </w:rPr>
        <w:t xml:space="preserve">First-Time Buyers</w:t>
      </w:r>
      <w:r>
        <w:t xml:space="preserve">, and</w:t>
      </w:r>
      <w:r>
        <w:t xml:space="preserve"> </w:t>
      </w:r>
      <w:r>
        <w:rPr>
          <w:bCs/>
          <w:b/>
        </w:rPr>
        <w:t xml:space="preserve">Luxury Investors</w:t>
      </w:r>
      <w:r>
        <w:t xml:space="preserve"> </w:t>
      </w:r>
      <w:r>
        <w:t xml:space="preserve">— primarily separated by financing behaviour (loan dependency) and</w:t>
      </w:r>
      <w:r>
        <w:t xml:space="preserve"> </w:t>
      </w:r>
      <w:r>
        <w:t xml:space="preserve">spend tier rather than by the raw</w:t>
      </w:r>
      <w:r>
        <w:t xml:space="preserve"> </w:t>
      </w:r>
      <w:r>
        <w:rPr>
          <w:rStyle w:val="VerbatimChar"/>
        </w:rPr>
        <w:t xml:space="preserve">client_type</w:t>
      </w:r>
      <w:r>
        <w:t xml:space="preserve">/</w:t>
      </w:r>
      <w:r>
        <w:rPr>
          <w:rStyle w:val="VerbatimChar"/>
        </w:rPr>
        <w:t xml:space="preserve">acquisition_purpose</w:t>
      </w:r>
      <w:r>
        <w:t xml:space="preserve"> </w:t>
      </w:r>
      <w:r>
        <w:t xml:space="preserve">labels alone. The</w:t>
      </w:r>
      <w:r>
        <w:t xml:space="preserve"> </w:t>
      </w:r>
      <w:r>
        <w:t xml:space="preserve">results are delivered as a reproducible Python pipeline and an interactive Streamlit</w:t>
      </w:r>
      <w:r>
        <w:t xml:space="preserve"> </w:t>
      </w:r>
      <w:r>
        <w:t xml:space="preserve">dashboard for ongoing use by Parcl’s marketing and investment teams.</w:t>
      </w:r>
    </w:p>
    <w:p>
      <w:r>
        <w:pict>
          <v:rect style="width:0;height:1.5pt" o:hralign="center" o:hrstd="t" o:hr="t"/>
        </w:pict>
      </w:r>
    </w:p>
    <w:bookmarkEnd w:id="20"/>
    <w:bookmarkStart w:id="21" w:name="background-and-problem-statement"/>
    <w:p>
      <w:pPr>
        <w:pStyle w:val="Heading2"/>
      </w:pPr>
      <w:r>
        <w:t xml:space="preserve">1. Background and Problem Statement</w:t>
      </w:r>
    </w:p>
    <w:p>
      <w:pPr>
        <w:pStyle w:val="FirstParagraph"/>
      </w:pPr>
      <w:r>
        <w:t xml:space="preserve">Parcl currently lacks a data-driven understanding of the different types of buyers</w:t>
      </w:r>
      <w:r>
        <w:t xml:space="preserve"> </w:t>
      </w:r>
      <w:r>
        <w:t xml:space="preserve">transacting on its platform, their investment motivations, geographic behaviour, and</w:t>
      </w:r>
      <w:r>
        <w:t xml:space="preserve"> </w:t>
      </w:r>
      <w:r>
        <w:t xml:space="preserve">financing patterns. Treating all buyers identically leads to inefficient marketing spend,</w:t>
      </w:r>
      <w:r>
        <w:t xml:space="preserve"> </w:t>
      </w:r>
      <w:r>
        <w:t xml:space="preserve">generic property recommendations, and missed opportunities to target high-value investors.</w:t>
      </w:r>
      <w:r>
        <w:t xml:space="preserve"> </w:t>
      </w:r>
      <w:r>
        <w:t xml:space="preserve">This project uses AI-based clustering to surface hidden structure in buyer behaviour so</w:t>
      </w:r>
      <w:r>
        <w:t xml:space="preserve"> </w:t>
      </w:r>
      <w:r>
        <w:t xml:space="preserve">that Parcl can build differentiated marketing, pricing, and relationship strategies for</w:t>
      </w:r>
      <w:r>
        <w:t xml:space="preserve"> </w:t>
      </w:r>
      <w:r>
        <w:t xml:space="preserve">each segment.</w:t>
      </w:r>
    </w:p>
    <w:bookmarkEnd w:id="21"/>
    <w:bookmarkStart w:id="24" w:name="data"/>
    <w:p>
      <w:pPr>
        <w:pStyle w:val="Heading2"/>
      </w:pPr>
      <w:r>
        <w:t xml:space="preserve">2. Data</w:t>
      </w:r>
    </w:p>
    <w:p>
      <w:pPr>
        <w:pStyle w:val="FirstParagraph"/>
      </w:pPr>
      <w:r>
        <w:t xml:space="preserve">Two source datasets were provided: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row per client: demographics, acquisition purpose, financing, referral channel, satisfaction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properties.csv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row per property listing/transaction, optionally linked to a client via</w:t>
            </w:r>
            <w:r>
              <w:t xml:space="preserve"> </w:t>
            </w:r>
            <w:r>
              <w:rPr>
                <w:rStyle w:val="VerbatimChar"/>
              </w:rPr>
              <w:t xml:space="preserve">client_ref</w:t>
            </w:r>
          </w:p>
        </w:tc>
      </w:tr>
    </w:tbl>
    <w:p>
      <w:pPr>
        <w:pStyle w:val="BodyText"/>
      </w:pPr>
      <w:r>
        <w:t xml:space="preserve">Of the 10,000 listings,</w:t>
      </w:r>
      <w:r>
        <w:t xml:space="preserve"> </w:t>
      </w:r>
      <w:r>
        <w:rPr>
          <w:bCs/>
          <w:b/>
        </w:rPr>
        <w:t xml:space="preserve">7,305 (73.1%)</w:t>
      </w:r>
      <w:r>
        <w:t xml:space="preserve"> </w:t>
      </w:r>
      <w:r>
        <w:t xml:space="preserve">are marked</w:t>
      </w:r>
      <w:r>
        <w:t xml:space="preserve"> </w:t>
      </w:r>
      <w:r>
        <w:rPr>
          <w:rStyle w:val="VerbatimChar"/>
        </w:rPr>
        <w:t xml:space="preserve">Sold</w:t>
      </w:r>
      <w:r>
        <w:t xml:space="preserve"> </w:t>
      </w:r>
      <w:r>
        <w:t xml:space="preserve">and linked to a purchasing</w:t>
      </w:r>
      <w:r>
        <w:t xml:space="preserve"> </w:t>
      </w:r>
      <w:r>
        <w:t xml:space="preserve">client; the remaining 2,695 are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(unsold) inventory. Every one of the 2,000</w:t>
      </w:r>
      <w:r>
        <w:t xml:space="preserve"> </w:t>
      </w:r>
      <w:r>
        <w:t xml:space="preserve">clients in</w:t>
      </w:r>
      <w:r>
        <w:t xml:space="preserve"> </w:t>
      </w:r>
      <w:r>
        <w:rPr>
          <w:rStyle w:val="VerbatimChar"/>
        </w:rPr>
        <w:t xml:space="preserve">clients.csv</w:t>
      </w:r>
      <w:r>
        <w:t xml:space="preserve"> </w:t>
      </w:r>
      <w:r>
        <w:t xml:space="preserve">has at least one completed (</w:t>
      </w:r>
      <w:r>
        <w:rPr>
          <w:rStyle w:val="VerbatimChar"/>
        </w:rPr>
        <w:t xml:space="preserve">Sold</w:t>
      </w:r>
      <w:r>
        <w:t xml:space="preserve">) transaction, so the client</w:t>
      </w:r>
      <w:r>
        <w:t xml:space="preserve"> </w:t>
      </w:r>
      <w:r>
        <w:t xml:space="preserve">table and the transaction table were merged into a single</w:t>
      </w:r>
      <w:r>
        <w:t xml:space="preserve"> </w:t>
      </w:r>
      <w:r>
        <w:rPr>
          <w:bCs/>
          <w:b/>
        </w:rPr>
        <w:t xml:space="preserve">client-level analytical table</w:t>
      </w:r>
      <w:r>
        <w:t xml:space="preserve"> </w:t>
      </w:r>
      <w:r>
        <w:t xml:space="preserve">combining demographic attributes with derived purchasing-behaviour features.</w:t>
      </w:r>
    </w:p>
    <w:bookmarkStart w:id="22" w:name="data-cleaning"/>
    <w:p>
      <w:pPr>
        <w:pStyle w:val="Heading3"/>
      </w:pPr>
      <w:r>
        <w:t xml:space="preserve">2.1 Data Cleaning</w:t>
      </w:r>
    </w:p>
    <w:p>
      <w:pPr>
        <w:numPr>
          <w:ilvl w:val="0"/>
          <w:numId w:val="1001"/>
        </w:numPr>
        <w:pStyle w:val="Compact"/>
      </w:pPr>
      <w:r>
        <w:t xml:space="preserve">Whitespace-trimmed and case-normalised all categorical text fields.</w:t>
      </w:r>
    </w:p>
    <w:p>
      <w:pPr>
        <w:numPr>
          <w:ilvl w:val="0"/>
          <w:numId w:val="1001"/>
        </w:numPr>
        <w:pStyle w:val="Compact"/>
      </w:pPr>
      <w:r>
        <w:t xml:space="preserve">Removed exact duplicate rows and duplicate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date_of_birth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transaction_date</w:t>
      </w:r>
      <w:r>
        <w:t xml:space="preserve"> </w:t>
      </w:r>
      <w:r>
        <w:t xml:space="preserve">were supplied in</w:t>
      </w:r>
      <w:r>
        <w:t xml:space="preserve"> </w:t>
      </w:r>
      <w:r>
        <w:rPr>
          <w:bCs/>
          <w:b/>
        </w:rPr>
        <w:t xml:space="preserve">mixed date formats</w:t>
      </w:r>
      <w:r>
        <w:t xml:space="preserve"> </w:t>
      </w:r>
      <w:r>
        <w:t xml:space="preserve">(</w:t>
      </w:r>
      <w:r>
        <w:rPr>
          <w:rStyle w:val="VerbatimChar"/>
        </w:rPr>
        <w:t xml:space="preserve">DD-MM-YYYY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M/D/YYYY</w:t>
      </w:r>
      <w:r>
        <w:t xml:space="preserve"> </w:t>
      </w:r>
      <w:r>
        <w:t xml:space="preserve">interleaved in the same column) and were parsed with an</w:t>
      </w:r>
      <w:r>
        <w:t xml:space="preserve"> </w:t>
      </w:r>
      <w:r>
        <w:t xml:space="preserve">explicit multi-format resolver rather than pandas’ default inference, to avoid silently</w:t>
      </w:r>
      <w:r>
        <w:t xml:space="preserve"> </w:t>
      </w:r>
      <w:r>
        <w:t xml:space="preserve">mis-parsing day/month.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sale_price</w:t>
      </w:r>
      <w:r>
        <w:t xml:space="preserve"> </w:t>
      </w:r>
      <w:r>
        <w:t xml:space="preserve">was supplied as a currency string (e.g. </w:t>
      </w:r>
      <w:r>
        <w:rPr>
          <w:rStyle w:val="VerbatimChar"/>
        </w:rPr>
        <w:t xml:space="preserve">"$300,385.62"</w:t>
      </w:r>
      <w:r>
        <w:t xml:space="preserve">) and converted to</w:t>
      </w:r>
      <w:r>
        <w:t xml:space="preserve"> </w:t>
      </w:r>
      <w:r>
        <w:t xml:space="preserve">a numeric float.</w:t>
      </w:r>
    </w:p>
    <w:p>
      <w:pPr>
        <w:numPr>
          <w:ilvl w:val="0"/>
          <w:numId w:val="1001"/>
        </w:numPr>
        <w:pStyle w:val="Compact"/>
      </w:pPr>
      <w:r>
        <w:t xml:space="preserve">Implausible parsed ages (&lt;18 or &gt;100, an artefact of a small number of ambiguous date</w:t>
      </w:r>
      <w:r>
        <w:t xml:space="preserve"> </w:t>
      </w:r>
      <w:r>
        <w:t xml:space="preserve">strings) were treated as missing and imputed with the column median.</w:t>
      </w:r>
    </w:p>
    <w:p>
      <w:pPr>
        <w:numPr>
          <w:ilvl w:val="0"/>
          <w:numId w:val="1001"/>
        </w:numPr>
        <w:pStyle w:val="Compact"/>
      </w:pPr>
      <w:r>
        <w:t xml:space="preserve">No missing values were found in the core</w:t>
      </w:r>
      <w:r>
        <w:t xml:space="preserve"> </w:t>
      </w:r>
      <w:r>
        <w:rPr>
          <w:rStyle w:val="VerbatimChar"/>
        </w:rPr>
        <w:t xml:space="preserve">clients.csv</w:t>
      </w:r>
      <w:r>
        <w:t xml:space="preserve"> </w:t>
      </w:r>
      <w:r>
        <w:t xml:space="preserve">categorical/numeric fields.</w:t>
      </w:r>
    </w:p>
    <w:bookmarkEnd w:id="22"/>
    <w:bookmarkStart w:id="23" w:name="feature-engineering"/>
    <w:p>
      <w:pPr>
        <w:pStyle w:val="Heading3"/>
      </w:pPr>
      <w:r>
        <w:t xml:space="preserve">2.2 Feature Engineering</w:t>
      </w:r>
    </w:p>
    <w:p>
      <w:pPr>
        <w:pStyle w:val="FirstParagraph"/>
      </w:pPr>
      <w:r>
        <w:t xml:space="preserve">The transaction table was aggregated to client level and joined onto client attributes,</w:t>
      </w:r>
      <w:r>
        <w:t xml:space="preserve"> </w:t>
      </w:r>
      <w:r>
        <w:t xml:space="preserve">producing (per client):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Demographics:</w:t>
      </w:r>
      <w:r>
        <w:t xml:space="preserve"> </w:t>
      </w:r>
      <w:r>
        <w:t xml:space="preserve">age (derived from</w:t>
      </w:r>
      <w:r>
        <w:t xml:space="preserve"> </w:t>
      </w:r>
      <w:r>
        <w:rPr>
          <w:rStyle w:val="VerbatimChar"/>
        </w:rPr>
        <w:t xml:space="preserve">date_of_birth</w:t>
      </w:r>
      <w:r>
        <w:t xml:space="preserve">), gender, country, region, client type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Acquisition context:</w:t>
      </w:r>
      <w:r>
        <w:t xml:space="preserve"> </w:t>
      </w:r>
      <w:r>
        <w:t xml:space="preserve">acquisition purpose, referral channel, satisfaction score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Financing:</w:t>
      </w:r>
      <w:r>
        <w:t xml:space="preserve"> </w:t>
      </w:r>
      <w:r>
        <w:rPr>
          <w:rStyle w:val="VerbatimChar"/>
        </w:rPr>
        <w:t xml:space="preserve">loan_applied_flag</w:t>
      </w:r>
      <w:r>
        <w:t xml:space="preserve"> </w:t>
      </w:r>
      <w:r>
        <w:t xml:space="preserve">(binary)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Purchase behaviour:</w:t>
      </w:r>
      <w:r>
        <w:t xml:space="preserve"> </w:t>
      </w:r>
      <w:r>
        <w:t xml:space="preserve">number of purchases, total spend, average purchase price, total</w:t>
      </w:r>
      <w:r>
        <w:t xml:space="preserve"> </w:t>
      </w:r>
      <w:r>
        <w:t xml:space="preserve">floor area purchased, share of office vs. apartment units, multi-unit buyer flag, tenure</w:t>
      </w:r>
      <w:r>
        <w:t xml:space="preserve"> </w:t>
      </w:r>
      <w:r>
        <w:t xml:space="preserve">between first and last purchase</w:t>
      </w:r>
    </w:p>
    <w:bookmarkEnd w:id="23"/>
    <w:bookmarkEnd w:id="24"/>
    <w:bookmarkStart w:id="35" w:name="methodology"/>
    <w:p>
      <w:pPr>
        <w:pStyle w:val="Heading2"/>
      </w:pPr>
      <w:r>
        <w:t xml:space="preserve">3. Methodology</w:t>
      </w:r>
    </w:p>
    <w:bookmarkStart w:id="25" w:name="encoding-scaling"/>
    <w:p>
      <w:pPr>
        <w:pStyle w:val="Heading3"/>
      </w:pPr>
      <w:r>
        <w:t xml:space="preserve">3.1 Encoding &amp; Scaling</w:t>
      </w:r>
    </w:p>
    <w:p>
      <w:pPr>
        <w:numPr>
          <w:ilvl w:val="0"/>
          <w:numId w:val="1003"/>
        </w:numPr>
        <w:pStyle w:val="Compact"/>
      </w:pPr>
      <w:r>
        <w:t xml:space="preserve">Numeric features (age, satisfaction score, loan flag, purchase counts, spend, floor</w:t>
      </w:r>
      <w:r>
        <w:t xml:space="preserve"> </w:t>
      </w:r>
      <w:r>
        <w:t xml:space="preserve">area, etc.) were standardised with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Categorical features (</w:t>
      </w:r>
      <w:r>
        <w:rPr>
          <w:rStyle w:val="VerbatimChar"/>
        </w:rPr>
        <w:t xml:space="preserve">client_type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acquisition_purpose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referral_channel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) were one-hot encoded.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region</w:t>
      </w:r>
      <w:r>
        <w:t xml:space="preserve"> </w:t>
      </w:r>
      <w:r>
        <w:t xml:space="preserve">(57 distinct values) was</w:t>
      </w:r>
      <w:r>
        <w:t xml:space="preserve"> </w:t>
      </w:r>
      <w:r>
        <w:rPr>
          <w:bCs/>
          <w:b/>
        </w:rPr>
        <w:t xml:space="preserve">deliberately excluded from the clustering feature</w:t>
      </w:r>
      <w:r>
        <w:rPr>
          <w:bCs/>
          <w:b/>
        </w:rPr>
        <w:t xml:space="preserve"> </w:t>
      </w:r>
      <w:r>
        <w:rPr>
          <w:bCs/>
          <w:b/>
        </w:rPr>
        <w:t xml:space="preserve">set</w:t>
      </w:r>
      <w:r>
        <w:t xml:space="preserve"> </w:t>
      </w:r>
      <w:r>
        <w:t xml:space="preserve">— at this dataset size, one-hot encoding a 57-category field would dominate the</w:t>
      </w:r>
      <w:r>
        <w:t xml:space="preserve"> </w:t>
      </w:r>
      <w:r>
        <w:t xml:space="preserve">Euclidean distance calculation and wash out the (more business-relevant) behavioural</w:t>
      </w:r>
      <w:r>
        <w:t xml:space="preserve"> </w:t>
      </w:r>
      <w:r>
        <w:t xml:space="preserve">signal.</w:t>
      </w:r>
      <w:r>
        <w:t xml:space="preserve"> </w:t>
      </w:r>
      <w:r>
        <w:rPr>
          <w:rStyle w:val="VerbatimChar"/>
        </w:rPr>
        <w:t xml:space="preserve">region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 </w:t>
      </w:r>
      <w:r>
        <w:t xml:space="preserve">remain fully available for post-hoc profiling and for the</w:t>
      </w:r>
      <w:r>
        <w:t xml:space="preserve"> </w:t>
      </w:r>
      <w:r>
        <w:t xml:space="preserve">dashboard’s geographic views.</w:t>
      </w:r>
    </w:p>
    <w:bookmarkEnd w:id="25"/>
    <w:bookmarkStart w:id="26" w:name="clustering-models"/>
    <w:p>
      <w:pPr>
        <w:pStyle w:val="Heading3"/>
      </w:pPr>
      <w:r>
        <w:t xml:space="preserve">3.2 Clustering Models</w:t>
      </w:r>
    </w:p>
    <w:p>
      <w:pPr>
        <w:pStyle w:val="FirstParagraph"/>
      </w:pPr>
      <w:r>
        <w:t xml:space="preserve">Two complementary clustering approaches were used, as specified in the project brief: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K-Means Clustering</w:t>
      </w:r>
      <w:r>
        <w:t xml:space="preserve"> </w:t>
      </w:r>
      <w:r>
        <w:t xml:space="preserve">— the primary segmentation model, chosen for its efficiency and</w:t>
      </w:r>
      <w:r>
        <w:t xml:space="preserve"> </w:t>
      </w:r>
      <w:r>
        <w:t xml:space="preserve">interpretability.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Agglomerative (Hierarchical) Clustering</w:t>
      </w:r>
      <w:r>
        <w:t xml:space="preserve"> </w:t>
      </w:r>
      <w:r>
        <w:t xml:space="preserve">(Ward linkage) — used to validate the</w:t>
      </w:r>
      <w:r>
        <w:t xml:space="preserve"> </w:t>
      </w:r>
      <w:r>
        <w:t xml:space="preserve">K-Means solution and to visualise nested relationships between clients via a dendrogram.</w:t>
      </w:r>
    </w:p>
    <w:bookmarkEnd w:id="26"/>
    <w:bookmarkStart w:id="30" w:name="selecting-the-number-of-clusters"/>
    <w:p>
      <w:pPr>
        <w:pStyle w:val="Heading3"/>
      </w:pPr>
      <w:r>
        <w:t xml:space="preserve">3.3 Selecting the Number of Clusters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Elbow Method</w:t>
      </w:r>
      <w:r>
        <w:t xml:space="preserve"> </w:t>
      </w:r>
      <w:r>
        <w:t xml:space="preserve">(inertia / within-cluster sum of squares) and</w:t>
      </w:r>
      <w:r>
        <w:t xml:space="preserve"> </w:t>
      </w:r>
      <w:r>
        <w:rPr>
          <w:bCs/>
          <w:b/>
        </w:rPr>
        <w:t xml:space="preserve">Silhouette Score</w:t>
      </w:r>
      <w:r>
        <w:t xml:space="preserve"> </w:t>
      </w:r>
      <w:r>
        <w:t xml:space="preserve">were computed for k = 2 through 8.</w:t>
      </w:r>
    </w:p>
    <w:p>
      <w:pPr>
        <w:pStyle w:val="CaptionedFigure"/>
      </w:pPr>
      <w:r>
        <w:drawing>
          <wp:inline>
            <wp:extent cx="5334000" cy="3287020"/>
            <wp:effectExtent b="0" l="0" r="0" t="0"/>
            <wp:docPr descr="Elbow and Silhouette" title="" id="28" name="Picture"/>
            <a:graphic>
              <a:graphicData uri="http://schemas.openxmlformats.org/drawingml/2006/picture">
                <pic:pic>
                  <pic:nvPicPr>
                    <pic:cNvPr descr="figures/10_elbow_silhouet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7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Elbow and Silhouette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Inertia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Silhouette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15,716.5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14,107.3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12,906.7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12,141.4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11,449.2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11,006.6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10,647.9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0.121</w:t>
            </w:r>
          </w:p>
        </w:tc>
      </w:tr>
    </w:tbl>
    <w:p>
      <w:pPr>
        <w:pStyle w:val="BodyText"/>
      </w:pPr>
      <w:r>
        <w:t xml:space="preserve">The silhouette score is highest at k = 2 and decays gradually as k increases, and the</w:t>
      </w:r>
      <w:r>
        <w:t xml:space="preserve"> </w:t>
      </w:r>
      <w:r>
        <w:t xml:space="preserve">elbow curve does not show one sharply obvious</w:t>
      </w:r>
      <w:r>
        <w:t xml:space="preserve"> </w:t>
      </w:r>
      <w:r>
        <w:t xml:space="preserve">“</w:t>
      </w:r>
      <w:r>
        <w:t xml:space="preserve">knee</w:t>
      </w:r>
      <w:r>
        <w:t xml:space="preserve">”</w:t>
      </w:r>
      <w:r>
        <w:t xml:space="preserve"> </w:t>
      </w:r>
      <w:r>
        <w:t xml:space="preserve">— an honest reading is that this</w:t>
      </w:r>
      <w:r>
        <w:t xml:space="preserve"> </w:t>
      </w:r>
      <w:r>
        <w:t xml:space="preserve">buyer base sits on a</w:t>
      </w:r>
      <w:r>
        <w:t xml:space="preserve"> </w:t>
      </w:r>
      <w:r>
        <w:rPr>
          <w:bCs/>
          <w:b/>
        </w:rPr>
        <w:t xml:space="preserve">behavioural continuum rather than being separated into</w:t>
      </w:r>
      <w:r>
        <w:rPr>
          <w:bCs/>
          <w:b/>
        </w:rPr>
        <w:t xml:space="preserve"> </w:t>
      </w:r>
      <w:r>
        <w:rPr>
          <w:bCs/>
          <w:b/>
        </w:rPr>
        <w:t xml:space="preserve">crisply-isolated clusters</w:t>
      </w:r>
      <w:r>
        <w:t xml:space="preserve">, which is a realistic outcome for real-world (or</w:t>
      </w:r>
      <w:r>
        <w:t xml:space="preserve"> </w:t>
      </w:r>
      <w:r>
        <w:t xml:space="preserve">realistically-simulated) client data.</w:t>
      </w:r>
      <w:r>
        <w:t xml:space="preserve"> </w:t>
      </w:r>
      <w:r>
        <w:rPr>
          <w:bCs/>
          <w:b/>
        </w:rPr>
        <w:t xml:space="preserve">k = 4</w:t>
      </w:r>
      <w:r>
        <w:t xml:space="preserve"> </w:t>
      </w:r>
      <w:r>
        <w:t xml:space="preserve">was selected as the operating point</w:t>
      </w:r>
      <w:r>
        <w:t xml:space="preserve"> </w:t>
      </w:r>
      <w:r>
        <w:t xml:space="preserve">because it (a) sits just past the point of steeply diminishing silhouette returns, (b)</w:t>
      </w:r>
      <w:r>
        <w:t xml:space="preserve"> </w:t>
      </w:r>
      <w:r>
        <w:t xml:space="preserve">aligns with the four buyer archetypes Parcl’s business team wants to act on (Global /</w:t>
      </w:r>
      <w:r>
        <w:t xml:space="preserve"> </w:t>
      </w:r>
      <w:r>
        <w:t xml:space="preserve">Institutional Investors, Personal-Use Buyers, First-Time Buyers, Luxury Investors), and</w:t>
      </w:r>
      <w:r>
        <w:t xml:space="preserve"> </w:t>
      </w:r>
      <w:r>
        <w:t xml:space="preserve">(c) produces segments that are each large enough (47–723 clients) to be commercially</w:t>
      </w:r>
      <w:r>
        <w:t xml:space="preserve"> </w:t>
      </w:r>
      <w:r>
        <w:t xml:space="preserve">actionable. Silhouette scores in the 0.13–0.16 range indicate</w:t>
      </w:r>
      <w:r>
        <w:t xml:space="preserve"> </w:t>
      </w:r>
      <w:r>
        <w:rPr>
          <w:bCs/>
          <w:b/>
        </w:rPr>
        <w:t xml:space="preserve">moderate, usable cluster</w:t>
      </w:r>
      <w:r>
        <w:rPr>
          <w:bCs/>
          <w:b/>
        </w:rPr>
        <w:t xml:space="preserve"> </w:t>
      </w:r>
      <w:r>
        <w:rPr>
          <w:bCs/>
          <w:b/>
        </w:rPr>
        <w:t xml:space="preserve">structure</w:t>
      </w:r>
      <w:r>
        <w:t xml:space="preserve"> </w:t>
      </w:r>
      <w:r>
        <w:t xml:space="preserve">rather than extremely well-separated clusters — segment boundaries should be</w:t>
      </w:r>
      <w:r>
        <w:t xml:space="preserve"> </w:t>
      </w:r>
      <w:r>
        <w:t xml:space="preserve">treated as directional tendencies for targeting, not hard behavioural walls.</w:t>
      </w:r>
    </w:p>
    <w:bookmarkEnd w:id="30"/>
    <w:bookmarkStart w:id="34" w:name="cluster-validation"/>
    <w:p>
      <w:pPr>
        <w:pStyle w:val="Heading3"/>
      </w:pPr>
      <w:r>
        <w:t xml:space="preserve">3.4 Cluster Validation</w:t>
      </w:r>
    </w:p>
    <w:p>
      <w:pPr>
        <w:pStyle w:val="FirstParagraph"/>
      </w:pPr>
      <w:r>
        <w:t xml:space="preserve">To sanity-check the K-Means solution, Agglomerative Clustering was independently fit with</w:t>
      </w:r>
      <w:r>
        <w:t xml:space="preserve"> </w:t>
      </w:r>
      <w:r>
        <w:t xml:space="preserve">the same k = 4 and compared to the K-Means labels using the</w:t>
      </w:r>
      <w:r>
        <w:t xml:space="preserve"> </w:t>
      </w:r>
      <w:r>
        <w:rPr>
          <w:bCs/>
          <w:b/>
        </w:rPr>
        <w:t xml:space="preserve">Adjusted Rand Index (ARI)</w:t>
      </w:r>
      <w:r>
        <w:t xml:space="preserve">:</w:t>
      </w:r>
    </w:p>
    <w:p>
      <w:pPr>
        <w:pStyle w:val="BlockText"/>
      </w:pPr>
      <w:r>
        <w:rPr>
          <w:bCs/>
          <w:b/>
        </w:rPr>
        <w:t xml:space="preserve">ARI (K-Means vs. Hierarchical) = 0.586</w:t>
      </w:r>
    </w:p>
    <w:p>
      <w:pPr>
        <w:pStyle w:val="FirstParagraph"/>
      </w:pPr>
      <w:r>
        <w:t xml:space="preserve">This indicates substantial (well above chance, ARI = 0) agreement between the two</w:t>
      </w:r>
      <w:r>
        <w:t xml:space="preserve"> </w:t>
      </w:r>
      <w:r>
        <w:t xml:space="preserve">algorithms on the underlying cluster structure, reinforcing confidence that the four</w:t>
      </w:r>
      <w:r>
        <w:t xml:space="preserve"> </w:t>
      </w:r>
      <w:r>
        <w:t xml:space="preserve">segments reflect real structure in the data rather than an artefact of one algorithm.</w:t>
      </w:r>
    </w:p>
    <w:p>
      <w:pPr>
        <w:pStyle w:val="CaptionedFigure"/>
      </w:pPr>
      <w:r>
        <w:drawing>
          <wp:inline>
            <wp:extent cx="5334000" cy="2369571"/>
            <wp:effectExtent b="0" l="0" r="0" t="0"/>
            <wp:docPr descr="Dendrogram" title="" id="32" name="Picture"/>
            <a:graphic>
              <a:graphicData uri="http://schemas.openxmlformats.org/drawingml/2006/picture">
                <pic:pic>
                  <pic:nvPicPr>
                    <pic:cNvPr descr="figures/12_dendrogram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9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Dendrogram</w:t>
      </w:r>
    </w:p>
    <w:bookmarkEnd w:id="34"/>
    <w:bookmarkEnd w:id="35"/>
    <w:bookmarkStart w:id="57" w:name="exploratory-data-analysis-key-findings"/>
    <w:p>
      <w:pPr>
        <w:pStyle w:val="Heading2"/>
      </w:pPr>
      <w:r>
        <w:t xml:space="preserve">4. Exploratory Data Analysis — Key Findings</w:t>
      </w:r>
    </w:p>
    <w:p>
      <w:pPr>
        <w:pStyle w:val="CaptionedFigure"/>
      </w:pPr>
      <w:r>
        <w:drawing>
          <wp:inline>
            <wp:extent cx="5334000" cy="1368245"/>
            <wp:effectExtent b="0" l="0" r="0" t="0"/>
            <wp:docPr descr="Client distributions" title="" id="37" name="Picture"/>
            <a:graphic>
              <a:graphicData uri="http://schemas.openxmlformats.org/drawingml/2006/picture">
                <pic:pic>
                  <pic:nvPicPr>
                    <pic:cNvPr descr="figures/01_client_distribution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8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Client distributions</w:t>
      </w:r>
    </w:p>
    <w:p>
      <w:pPr>
        <w:numPr>
          <w:ilvl w:val="0"/>
          <w:numId w:val="1005"/>
        </w:numPr>
        <w:pStyle w:val="Compact"/>
      </w:pPr>
      <w:r>
        <w:t xml:space="preserve">Individual clients dominate the buyer base (1,897 of 2,000,</w:t>
      </w:r>
      <w:r>
        <w:t xml:space="preserve"> </w:t>
      </w:r>
      <w:r>
        <w:rPr>
          <w:bCs/>
          <w:b/>
        </w:rPr>
        <w:t xml:space="preserve">94.9%</w:t>
      </w:r>
      <w:r>
        <w:t xml:space="preserve">); corporate</w:t>
      </w:r>
      <w:r>
        <w:t xml:space="preserve"> </w:t>
      </w:r>
      <w:r>
        <w:t xml:space="preserve">clients are a small minority (103,</w:t>
      </w:r>
      <w:r>
        <w:t xml:space="preserve"> </w:t>
      </w:r>
      <w:r>
        <w:rPr>
          <w:bCs/>
          <w:b/>
        </w:rPr>
        <w:t xml:space="preserve">5.2%</w:t>
      </w:r>
      <w:r>
        <w:t xml:space="preserve">) and — notably — are</w:t>
      </w:r>
      <w:r>
        <w:t xml:space="preserve"> </w:t>
      </w:r>
      <w:r>
        <w:rPr>
          <w:bCs/>
          <w:b/>
        </w:rPr>
        <w:t xml:space="preserve">spread roughly</w:t>
      </w:r>
      <w:r>
        <w:rPr>
          <w:bCs/>
          <w:b/>
        </w:rPr>
        <w:t xml:space="preserve"> </w:t>
      </w:r>
      <w:r>
        <w:rPr>
          <w:bCs/>
          <w:b/>
        </w:rPr>
        <w:t xml:space="preserve">evenly across all four clusters</w:t>
      </w:r>
      <w:r>
        <w:t xml:space="preserve"> </w:t>
      </w:r>
      <w:r>
        <w:t xml:space="preserve">(4.3%–6.0% company share per cluster) rather than</w:t>
      </w:r>
      <w:r>
        <w:t xml:space="preserve"> </w:t>
      </w:r>
      <w:r>
        <w:t xml:space="preserve">forming their own distinct segment. This is itself an insight: Parcl’s corporate buyers</w:t>
      </w:r>
      <w:r>
        <w:t xml:space="preserve"> </w:t>
      </w:r>
      <w:r>
        <w:t xml:space="preserve">do not currently behave as a behaviourally distinct group, and a dedicated</w:t>
      </w:r>
      <w:r>
        <w:t xml:space="preserve"> </w:t>
      </w:r>
      <w:r>
        <w:t xml:space="preserve">“</w:t>
      </w:r>
      <w:r>
        <w:t xml:space="preserve">corporate desk</w:t>
      </w:r>
      <w:r>
        <w:t xml:space="preserve">”</w:t>
      </w:r>
      <w:r>
        <w:t xml:space="preserve"> </w:t>
      </w:r>
      <w:r>
        <w:t xml:space="preserve">strategy would need additional corporate-specific signals (e.g.</w:t>
      </w:r>
      <w:r>
        <w:t xml:space="preserve"> </w:t>
      </w:r>
      <w:r>
        <w:t xml:space="preserve">procurement cycle, portfolio size) not present in this dataset to be well targeted.</w:t>
      </w:r>
    </w:p>
    <w:p>
      <w:pPr>
        <w:numPr>
          <w:ilvl w:val="0"/>
          <w:numId w:val="1005"/>
        </w:numPr>
        <w:pStyle w:val="Compact"/>
      </w:pPr>
      <w:r>
        <w:t xml:space="preserve">Gender is close to evenly split (1,012 M / 988 F).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69.3%</w:t>
      </w:r>
      <w:r>
        <w:t xml:space="preserve"> </w:t>
      </w:r>
      <w:r>
        <w:t xml:space="preserve">of purchases are for</w:t>
      </w:r>
      <w:r>
        <w:t xml:space="preserve"> </w:t>
      </w:r>
      <w:r>
        <w:rPr>
          <w:rStyle w:val="VerbatimChar"/>
        </w:rPr>
        <w:t xml:space="preserve">Home</w:t>
      </w:r>
      <w:r>
        <w:t xml:space="preserve"> </w:t>
      </w:r>
      <w:r>
        <w:t xml:space="preserve">(personal use) and</w:t>
      </w:r>
      <w:r>
        <w:t xml:space="preserve"> </w:t>
      </w:r>
      <w:r>
        <w:rPr>
          <w:bCs/>
          <w:b/>
        </w:rPr>
        <w:t xml:space="preserve">30.8%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Investment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63.2%</w:t>
      </w:r>
      <w:r>
        <w:t xml:space="preserve"> </w:t>
      </w:r>
      <w:r>
        <w:t xml:space="preserve">of clients 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apply for a loan;</w:t>
      </w:r>
      <w:r>
        <w:t xml:space="preserve"> </w:t>
      </w:r>
      <w:r>
        <w:rPr>
          <w:bCs/>
          <w:b/>
        </w:rPr>
        <w:t xml:space="preserve">36.8%</w:t>
      </w:r>
      <w:r>
        <w:t xml:space="preserve"> </w:t>
      </w:r>
      <w:r>
        <w:t xml:space="preserve">financed their purchase.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Website</w:t>
      </w:r>
      <w:r>
        <w:t xml:space="preserve"> </w:t>
      </w:r>
      <w:r>
        <w:t xml:space="preserve">is the leading referral channel (55.2%), followed by</w:t>
      </w:r>
      <w:r>
        <w:t xml:space="preserve"> </w:t>
      </w:r>
      <w:r>
        <w:rPr>
          <w:rStyle w:val="VerbatimChar"/>
        </w:rPr>
        <w:t xml:space="preserve">Agency</w:t>
      </w:r>
      <w:r>
        <w:t xml:space="preserve"> </w:t>
      </w:r>
      <w:r>
        <w:t xml:space="preserve">(35.3%) and</w:t>
      </w:r>
      <w:r>
        <w:t xml:space="preserve"> </w:t>
      </w:r>
      <w:r>
        <w:t xml:space="preserve">direct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referral (9.6%).</w:t>
      </w:r>
    </w:p>
    <w:p>
      <w:pPr>
        <w:pStyle w:val="CaptionedFigure"/>
      </w:pPr>
      <w:r>
        <w:drawing>
          <wp:inline>
            <wp:extent cx="5334000" cy="2604507"/>
            <wp:effectExtent b="0" l="0" r="0" t="0"/>
            <wp:docPr descr="Countries" title="" id="40" name="Picture"/>
            <a:graphic>
              <a:graphicData uri="http://schemas.openxmlformats.org/drawingml/2006/picture">
                <pic:pic>
                  <pic:nvPicPr>
                    <pic:cNvPr descr="figures/02_clients_by_country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4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Countries</w:t>
      </w:r>
    </w:p>
    <w:p>
      <w:pPr>
        <w:numPr>
          <w:ilvl w:val="0"/>
          <w:numId w:val="1006"/>
        </w:numPr>
        <w:pStyle w:val="Compact"/>
      </w:pPr>
      <w:r>
        <w:t xml:space="preserve">The client base spans 10 countries; the</w:t>
      </w:r>
      <w:r>
        <w:t xml:space="preserve"> </w:t>
      </w:r>
      <w:r>
        <w:rPr>
          <w:bCs/>
          <w:b/>
        </w:rPr>
        <w:t xml:space="preserve">USA accounts for 76.9%</w:t>
      </w:r>
      <w:r>
        <w:t xml:space="preserve"> </w:t>
      </w:r>
      <w:r>
        <w:t xml:space="preserve">of all clients</w:t>
      </w:r>
      <w:r>
        <w:t xml:space="preserve"> </w:t>
      </w:r>
      <w:r>
        <w:t xml:space="preserve">(1,538 of 2,000), followed by the UK (4.8%), Canada (4.3%), Germany (2.8%) and France</w:t>
      </w:r>
      <w:r>
        <w:t xml:space="preserve"> </w:t>
      </w:r>
      <w:r>
        <w:t xml:space="preserve">(2.7%).</w:t>
      </w:r>
    </w:p>
    <w:p>
      <w:pPr>
        <w:pStyle w:val="CaptionedFigure"/>
      </w:pPr>
      <w:r>
        <w:drawing>
          <wp:inline>
            <wp:extent cx="5334000" cy="2937565"/>
            <wp:effectExtent b="0" l="0" r="0" t="0"/>
            <wp:docPr descr="Age distribution" title="" id="43" name="Picture"/>
            <a:graphic>
              <a:graphicData uri="http://schemas.openxmlformats.org/drawingml/2006/picture">
                <pic:pic>
                  <pic:nvPicPr>
                    <pic:cNvPr descr="figures/03_age_distribution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7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 distribution</w:t>
      </w:r>
    </w:p>
    <w:p>
      <w:pPr>
        <w:numPr>
          <w:ilvl w:val="0"/>
          <w:numId w:val="1007"/>
        </w:numPr>
        <w:pStyle w:val="Compact"/>
      </w:pPr>
      <w:r>
        <w:t xml:space="preserve">Client age ranges from 25 to 95 years with a mean of</w:t>
      </w:r>
      <w:r>
        <w:t xml:space="preserve"> </w:t>
      </w:r>
      <w:r>
        <w:rPr>
          <w:bCs/>
          <w:b/>
        </w:rPr>
        <w:t xml:space="preserve">55.6 years</w:t>
      </w:r>
      <w:r>
        <w:t xml:space="preserve"> </w:t>
      </w:r>
      <w:r>
        <w:t xml:space="preserve">— a broad,</w:t>
      </w:r>
      <w:r>
        <w:t xml:space="preserve"> </w:t>
      </w:r>
      <w:r>
        <w:t xml:space="preserve">fairly evenly-spread age base rather than one dominated by a single generation.</w:t>
      </w:r>
    </w:p>
    <w:p>
      <w:pPr>
        <w:pStyle w:val="CaptionedFigure"/>
      </w:pPr>
      <w:r>
        <w:drawing>
          <wp:inline>
            <wp:extent cx="5334000" cy="3373507"/>
            <wp:effectExtent b="0" l="0" r="0" t="0"/>
            <wp:docPr descr="Satisfaction" title="" id="46" name="Picture"/>
            <a:graphic>
              <a:graphicData uri="http://schemas.openxmlformats.org/drawingml/2006/picture">
                <pic:pic>
                  <pic:nvPicPr>
                    <pic:cNvPr descr="figures/04_satisfaction_distributio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3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Satisfaction</w:t>
      </w:r>
    </w:p>
    <w:p>
      <w:pPr>
        <w:numPr>
          <w:ilvl w:val="0"/>
          <w:numId w:val="1008"/>
        </w:numPr>
        <w:pStyle w:val="Compact"/>
      </w:pPr>
      <w:r>
        <w:t xml:space="preserve">Average satisfaction score across all clients is</w:t>
      </w:r>
      <w:r>
        <w:t xml:space="preserve"> </w:t>
      </w:r>
      <w:r>
        <w:rPr>
          <w:bCs/>
          <w:b/>
        </w:rPr>
        <w:t xml:space="preserve">3.03 / 5</w:t>
      </w:r>
      <w:r>
        <w:t xml:space="preserve">, with scores fairly</w:t>
      </w:r>
      <w:r>
        <w:t xml:space="preserve"> </w:t>
      </w:r>
      <w:r>
        <w:t xml:space="preserve">evenly distributed 1–5. Loan-applied clients (mean 3.03) and non-financed clients</w:t>
      </w:r>
      <w:r>
        <w:t xml:space="preserve"> </w:t>
      </w:r>
      <w:r>
        <w:t xml:space="preserve">(mean 3.03) report virtually identical satisfaction — financing status alone does not</w:t>
      </w:r>
      <w:r>
        <w:t xml:space="preserve"> </w:t>
      </w:r>
      <w:r>
        <w:t xml:space="preserve">appear to drive the customer experience.</w:t>
      </w:r>
    </w:p>
    <w:p>
      <w:pPr>
        <w:pStyle w:val="CaptionedFigure"/>
      </w:pPr>
      <w:r>
        <w:drawing>
          <wp:inline>
            <wp:extent cx="5334000" cy="1794642"/>
            <wp:effectExtent b="0" l="0" r="0" t="0"/>
            <wp:docPr descr="Price distributions" title="" id="49" name="Picture"/>
            <a:graphic>
              <a:graphicData uri="http://schemas.openxmlformats.org/drawingml/2006/picture">
                <pic:pic>
                  <pic:nvPicPr>
                    <pic:cNvPr descr="figures/07_price_distribution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4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Price distributions</w:t>
      </w:r>
    </w:p>
    <w:p>
      <w:pPr>
        <w:numPr>
          <w:ilvl w:val="0"/>
          <w:numId w:val="1009"/>
        </w:numPr>
        <w:pStyle w:val="Compact"/>
      </w:pPr>
      <w:r>
        <w:t xml:space="preserve">Sale prices across all 10,000 listings range from roughly $97K to $737K, with a mean</w:t>
      </w:r>
      <w:r>
        <w:t xml:space="preserve"> </w:t>
      </w:r>
      <w:r>
        <w:t xml:space="preserve">of</w:t>
      </w:r>
      <w:r>
        <w:t xml:space="preserve"> </w:t>
      </w:r>
      <w:r>
        <w:rPr>
          <w:bCs/>
          <w:b/>
        </w:rPr>
        <w:t xml:space="preserve">$344,375</w:t>
      </w:r>
      <w:r>
        <w:t xml:space="preserve"> </w:t>
      </w:r>
      <w:r>
        <w:t xml:space="preserve">and a fairly symmetric distribution; Office units trend toward similar</w:t>
      </w:r>
      <w:r>
        <w:t xml:space="preserve"> </w:t>
      </w:r>
      <w:r>
        <w:t xml:space="preserve">price levels to Apartments but with tighter variance.</w:t>
      </w:r>
    </w:p>
    <w:p>
      <w:pPr>
        <w:pStyle w:val="CaptionedFigure"/>
      </w:pPr>
      <w:r>
        <w:drawing>
          <wp:inline>
            <wp:extent cx="5334000" cy="2339283"/>
            <wp:effectExtent b="0" l="0" r="0" t="0"/>
            <wp:docPr descr="Transactions over time" title="" id="52" name="Picture"/>
            <a:graphic>
              <a:graphicData uri="http://schemas.openxmlformats.org/drawingml/2006/picture">
                <pic:pic>
                  <pic:nvPicPr>
                    <pic:cNvPr descr="figures/08_transactions_over_time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9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Transactions over time</w:t>
      </w:r>
    </w:p>
    <w:p>
      <w:pPr>
        <w:numPr>
          <w:ilvl w:val="0"/>
          <w:numId w:val="1010"/>
        </w:numPr>
        <w:pStyle w:val="Compact"/>
      </w:pPr>
      <w:r>
        <w:t xml:space="preserve">Transaction volume is tracked monthly from January 2024 through December 2025,</w:t>
      </w:r>
      <w:r>
        <w:t xml:space="preserve"> </w:t>
      </w:r>
      <w:r>
        <w:t xml:space="preserve">giving Parcl a two-year view of demand trends usable for seasonality and pipeline</w:t>
      </w:r>
      <w:r>
        <w:t xml:space="preserve"> </w:t>
      </w:r>
      <w:r>
        <w:t xml:space="preserve">planning.</w:t>
      </w:r>
    </w:p>
    <w:p>
      <w:pPr>
        <w:pStyle w:val="CaptionedFigure"/>
      </w:pPr>
      <w:r>
        <w:drawing>
          <wp:inline>
            <wp:extent cx="5334000" cy="4665243"/>
            <wp:effectExtent b="0" l="0" r="0" t="0"/>
            <wp:docPr descr="Correlation heatmap" title="" id="55" name="Picture"/>
            <a:graphic>
              <a:graphicData uri="http://schemas.openxmlformats.org/drawingml/2006/picture">
                <pic:pic>
                  <pic:nvPicPr>
                    <pic:cNvPr descr="figures/09_correlation_heatmap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5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Correlation heatmap</w:t>
      </w:r>
    </w:p>
    <w:p>
      <w:pPr>
        <w:numPr>
          <w:ilvl w:val="0"/>
          <w:numId w:val="1011"/>
        </w:numPr>
        <w:pStyle w:val="Compact"/>
      </w:pPr>
      <w:r>
        <w:t xml:space="preserve">Total spend and average purchase price are (unsurprisingly) strongly correlated with</w:t>
      </w:r>
      <w:r>
        <w:t xml:space="preserve"> </w:t>
      </w:r>
      <w:r>
        <w:t xml:space="preserve">each other; loan usage shows only a weak relationship with age and satisfaction,</w:t>
      </w:r>
      <w:r>
        <w:t xml:space="preserve"> </w:t>
      </w:r>
      <w:r>
        <w:t xml:space="preserve">suggesting financing decisions in this market are driven more by purchase size /</w:t>
      </w:r>
      <w:r>
        <w:t xml:space="preserve"> </w:t>
      </w:r>
      <w:r>
        <w:t xml:space="preserve">investment intent than by demographics alone.</w:t>
      </w:r>
    </w:p>
    <w:bookmarkEnd w:id="57"/>
    <w:bookmarkStart w:id="74" w:name="buyer-segments"/>
    <w:p>
      <w:pPr>
        <w:pStyle w:val="Heading2"/>
      </w:pPr>
      <w:r>
        <w:t xml:space="preserve">5. Buyer Segments</w:t>
      </w:r>
    </w:p>
    <w:p>
      <w:pPr>
        <w:pStyle w:val="FirstParagraph"/>
      </w:pPr>
      <w:r>
        <w:t xml:space="preserve">Applying K-Means with k = 4 to the scaled/encoded feature matrix produced the following</w:t>
      </w:r>
      <w:r>
        <w:t xml:space="preserve"> </w:t>
      </w:r>
      <w:r>
        <w:t xml:space="preserve">segments:</w:t>
      </w:r>
    </w:p>
    <w:p>
      <w:pPr>
        <w:pStyle w:val="CaptionedFigure"/>
      </w:pPr>
      <w:r>
        <w:drawing>
          <wp:inline>
            <wp:extent cx="5334000" cy="3357865"/>
            <wp:effectExtent b="0" l="0" r="0" t="0"/>
            <wp:docPr descr="Segment sizes" title="" id="59" name="Picture"/>
            <a:graphic>
              <a:graphicData uri="http://schemas.openxmlformats.org/drawingml/2006/picture">
                <pic:pic>
                  <pic:nvPicPr>
                    <pic:cNvPr descr="figures/13_segment_sizes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7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Segment sizes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Avg.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Avg. Total 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Avg. Purchase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Loan-Applied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Avg. Satisfaction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Global Investors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678 (33.9%)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$1,532,680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$409,906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Personal-Use Buyers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723 (36.2%)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$1,039,568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$307,845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First-Time Buyers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552 (27.6%)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$1,112,222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$322,197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Luxury Investors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(2.4%)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$2,468,921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$336,998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3.47</w:t>
            </w:r>
          </w:p>
        </w:tc>
      </w:tr>
    </w:tbl>
    <w:p>
      <w:pPr>
        <w:pStyle w:val="CaptionedFigure"/>
      </w:pPr>
      <w:r>
        <w:drawing>
          <wp:inline>
            <wp:extent cx="5334000" cy="3981074"/>
            <wp:effectExtent b="0" l="0" r="0" t="0"/>
            <wp:docPr descr="PCA clusters" title="" id="62" name="Picture"/>
            <a:graphic>
              <a:graphicData uri="http://schemas.openxmlformats.org/drawingml/2006/picture">
                <pic:pic>
                  <pic:nvPicPr>
                    <pic:cNvPr descr="figures/11_pca_clusters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1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PCA clusters</w:t>
      </w:r>
    </w:p>
    <w:bookmarkStart w:id="73" w:name="segment-profiles"/>
    <w:p>
      <w:pPr>
        <w:pStyle w:val="Heading3"/>
      </w:pPr>
      <w:r>
        <w:t xml:space="preserve">Segment Profiles</w:t>
      </w:r>
    </w:p>
    <w:p>
      <w:pPr>
        <w:pStyle w:val="FirstParagraph"/>
      </w:pPr>
      <w:r>
        <w:rPr>
          <w:bCs/>
          <w:b/>
        </w:rPr>
        <w:t xml:space="preserve">🌍 Global Investors (33.9% of clients).</w:t>
      </w:r>
      <w:r>
        <w:t xml:space="preserve"> </w:t>
      </w:r>
      <w:r>
        <w:t xml:space="preserve">The largest high-value segment. High total spend and the highest average purchase price</w:t>
      </w:r>
      <w:r>
        <w:t xml:space="preserve"> </w:t>
      </w:r>
      <w:r>
        <w:t xml:space="preserve">of the</w:t>
      </w:r>
      <w:r>
        <w:t xml:space="preserve"> </w:t>
      </w:r>
      <w:r>
        <w:t xml:space="preserve">“</w:t>
      </w:r>
      <w:r>
        <w:t xml:space="preserve">mainstream</w:t>
      </w:r>
      <w:r>
        <w:t xml:space="preserve">”</w:t>
      </w:r>
      <w:r>
        <w:t xml:space="preserve"> </w:t>
      </w:r>
      <w:r>
        <w:t xml:space="preserve">segments, moderate financing usage (roughly 1 in 4 used a loan),</w:t>
      </w:r>
      <w:r>
        <w:t xml:space="preserve"> </w:t>
      </w:r>
      <w:r>
        <w:t xml:space="preserve">mid-50s average age. These clients behave like seasoned, largely cash-capable investors</w:t>
      </w:r>
      <w:r>
        <w:t xml:space="preserve"> </w:t>
      </w:r>
      <w:r>
        <w:t xml:space="preserve">who transact repeatedly at above-average price points.</w:t>
      </w:r>
    </w:p>
    <w:p>
      <w:pPr>
        <w:pStyle w:val="BodyText"/>
      </w:pPr>
      <w:r>
        <w:rPr>
          <w:bCs/>
          <w:b/>
        </w:rPr>
        <w:t xml:space="preserve">🏠 Personal-Use Buyers (36.2% of clients).</w:t>
      </w:r>
      <w:r>
        <w:t xml:space="preserve"> </w:t>
      </w:r>
      <w:r>
        <w:t xml:space="preserve">The largest segment overall, and the only one with a</w:t>
      </w:r>
      <w:r>
        <w:t xml:space="preserve"> </w:t>
      </w:r>
      <w:r>
        <w:rPr>
          <w:bCs/>
          <w:b/>
        </w:rPr>
        <w:t xml:space="preserve">0% loan-applied rate</w:t>
      </w:r>
      <w:r>
        <w:t xml:space="preserve"> </w:t>
      </w:r>
      <w:r>
        <w:t xml:space="preserve">— this</w:t>
      </w:r>
      <w:r>
        <w:t xml:space="preserve"> </w:t>
      </w:r>
      <w:r>
        <w:t xml:space="preserve">group pays in full and buys at the lowest average price point of the four segments,</w:t>
      </w:r>
      <w:r>
        <w:t xml:space="preserve"> </w:t>
      </w:r>
      <w:r>
        <w:t xml:space="preserve">consistent with buyers purchasing primarily for personal/home use rather than as an</w:t>
      </w:r>
      <w:r>
        <w:t xml:space="preserve"> </w:t>
      </w:r>
      <w:r>
        <w:t xml:space="preserve">investment vehicle.</w:t>
      </w:r>
    </w:p>
    <w:p>
      <w:pPr>
        <w:pStyle w:val="BodyText"/>
      </w:pPr>
      <w:r>
        <w:rPr>
          <w:bCs/>
          <w:b/>
        </w:rPr>
        <w:t xml:space="preserve">🔑 First-Time Buyers (27.6% of clients).</w:t>
      </w:r>
      <w:r>
        <w:t xml:space="preserve"> </w:t>
      </w:r>
      <w:r>
        <w:t xml:space="preserve">Defined almost entirely by financing behaviour:</w:t>
      </w:r>
      <w:r>
        <w:t xml:space="preserve"> </w:t>
      </w:r>
      <w:r>
        <w:rPr>
          <w:bCs/>
          <w:b/>
        </w:rPr>
        <w:t xml:space="preserve">100% of clients in this segment applied</w:t>
      </w:r>
      <w:r>
        <w:rPr>
          <w:bCs/>
          <w:b/>
        </w:rPr>
        <w:t xml:space="preserve"> </w:t>
      </w:r>
      <w:r>
        <w:rPr>
          <w:bCs/>
          <w:b/>
        </w:rPr>
        <w:t xml:space="preserve">for a loan.</w:t>
      </w:r>
      <w:r>
        <w:t xml:space="preserve"> </w:t>
      </w:r>
      <w:r>
        <w:t xml:space="preserve">They are also the youngest segment on average (53.3 years) and purchase at</w:t>
      </w:r>
      <w:r>
        <w:t xml:space="preserve"> </w:t>
      </w:r>
      <w:r>
        <w:t xml:space="preserve">below-average price points — the classic profile of a financing-dependent buyer entering</w:t>
      </w:r>
      <w:r>
        <w:t xml:space="preserve"> </w:t>
      </w:r>
      <w:r>
        <w:t xml:space="preserve">the market.</w:t>
      </w:r>
    </w:p>
    <w:p>
      <w:pPr>
        <w:pStyle w:val="BodyText"/>
      </w:pPr>
      <w:r>
        <w:rPr>
          <w:bCs/>
          <w:b/>
        </w:rPr>
        <w:t xml:space="preserve">💎 Luxury Investors (2.4% of clients).</w:t>
      </w:r>
      <w:r>
        <w:t xml:space="preserve"> </w:t>
      </w:r>
      <w:r>
        <w:t xml:space="preserve">A small (47-client) but highly valuable segment: the highest average total spend by a</w:t>
      </w:r>
      <w:r>
        <w:t xml:space="preserve"> </w:t>
      </w:r>
      <w:r>
        <w:t xml:space="preserve">wide margin (</w:t>
      </w:r>
      <w:r>
        <w:rPr>
          <w:bCs/>
          <w:b/>
        </w:rPr>
        <w:t xml:space="preserve">$2.47M</w:t>
      </w:r>
      <w:r>
        <w:t xml:space="preserve">, ~60% above the next-highest segment), the oldest average age</w:t>
      </w:r>
      <w:r>
        <w:t xml:space="preserve"> </w:t>
      </w:r>
      <w:r>
        <w:t xml:space="preserve">(63.3 years), and — importantly — the</w:t>
      </w:r>
      <w:r>
        <w:t xml:space="preserve"> </w:t>
      </w:r>
      <w:r>
        <w:rPr>
          <w:bCs/>
          <w:b/>
        </w:rPr>
        <w:t xml:space="preserve">highest satisfaction score of any segment</w:t>
      </w:r>
      <w:r>
        <w:rPr>
          <w:bCs/>
          <w:b/>
        </w:rPr>
        <w:t xml:space="preserve"> </w:t>
      </w:r>
      <w:r>
        <w:rPr>
          <w:bCs/>
          <w:b/>
        </w:rPr>
        <w:t xml:space="preserve">(3.47 / 5)</w:t>
      </w:r>
      <w:r>
        <w:t xml:space="preserve">. This is Parcl’s premium relationship-management priority segment: few in</w:t>
      </w:r>
      <w:r>
        <w:t xml:space="preserve"> </w:t>
      </w:r>
      <w:r>
        <w:t xml:space="preserve">number, but outsized in revenue contribution and demonstrably the most satisfied with</w:t>
      </w:r>
      <w:r>
        <w:t xml:space="preserve"> </w:t>
      </w:r>
      <w:r>
        <w:t xml:space="preserve">their experience.</w:t>
      </w:r>
    </w:p>
    <w:p>
      <w:pPr>
        <w:pStyle w:val="BodyText"/>
      </w:pPr>
      <w:r>
        <w:drawing>
          <wp:inline>
            <wp:extent cx="5334000" cy="1804841"/>
            <wp:effectExtent b="0" l="0" r="0" t="0"/>
            <wp:docPr descr="Spend and price by segment" title="" id="65" name="Picture"/>
            <a:graphic>
              <a:graphicData uri="http://schemas.openxmlformats.org/drawingml/2006/picture">
                <pic:pic>
                  <pic:nvPicPr>
                    <pic:cNvPr descr="figures/14_spend_price_by_segment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4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802064"/>
            <wp:effectExtent b="0" l="0" r="0" t="0"/>
            <wp:docPr descr="Loan and satisfaction by segment" title="" id="68" name="Picture"/>
            <a:graphic>
              <a:graphicData uri="http://schemas.openxmlformats.org/drawingml/2006/picture">
                <pic:pic>
                  <pic:nvPicPr>
                    <pic:cNvPr descr="figures/15_loan_satisfaction_by_segment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2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974578"/>
            <wp:effectExtent b="0" l="0" r="0" t="0"/>
            <wp:docPr descr="Segment by country" title="" id="71" name="Picture"/>
            <a:graphic>
              <a:graphicData uri="http://schemas.openxmlformats.org/drawingml/2006/picture">
                <pic:pic>
                  <pic:nvPicPr>
                    <pic:cNvPr descr="figures/16_segment_by_country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4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End w:id="74"/>
    <w:bookmarkStart w:id="75" w:name="business-recommendations"/>
    <w:p>
      <w:pPr>
        <w:pStyle w:val="Heading2"/>
      </w:pPr>
      <w:r>
        <w:t xml:space="preserve">6. Business Recommendations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Prioritise white-glove relationship management for Luxury Investors.</w:t>
      </w:r>
      <w:r>
        <w:t xml:space="preserve"> </w:t>
      </w:r>
      <w:r>
        <w:t xml:space="preserve">Although this</w:t>
      </w:r>
      <w:r>
        <w:t xml:space="preserve"> </w:t>
      </w:r>
      <w:r>
        <w:t xml:space="preserve">segment is only 2.4% of the client base, it drives disproportionate revenue</w:t>
      </w:r>
      <w:r>
        <w:t xml:space="preserve"> </w:t>
      </w:r>
      <w:r>
        <w:t xml:space="preserve">($2.47M average spend vs. ~$1.0–1.5M for other segments) and already reports the</w:t>
      </w:r>
      <w:r>
        <w:t xml:space="preserve"> </w:t>
      </w:r>
      <w:r>
        <w:t xml:space="preserve">highest satisfaction — a dedicated concierge/relationship-manager motion is likely to</w:t>
      </w:r>
      <w:r>
        <w:t xml:space="preserve"> </w:t>
      </w:r>
      <w:r>
        <w:t xml:space="preserve">have an outsized ROI here and support referral-driven growth from this group.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Build a financing-first funnel for First-Time Buyers.</w:t>
      </w:r>
      <w:r>
        <w:t xml:space="preserve"> </w:t>
      </w:r>
      <w:r>
        <w:t xml:space="preserve">Since 100% of this segment</w:t>
      </w:r>
      <w:r>
        <w:t xml:space="preserve"> </w:t>
      </w:r>
      <w:r>
        <w:t xml:space="preserve">used financing, marketing and product content (mortgage-partner offers, financing</w:t>
      </w:r>
      <w:r>
        <w:t xml:space="preserve"> </w:t>
      </w:r>
      <w:r>
        <w:t xml:space="preserve">calculators, first-time-buyer guides) should be front-and-centre for any lead that</w:t>
      </w:r>
      <w:r>
        <w:t xml:space="preserve"> </w:t>
      </w:r>
      <w:r>
        <w:t xml:space="preserve">matches this profile, rather than generic listing content.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Differentiate Global Investors from Personal-Use Buyers in messaging even though</w:t>
      </w:r>
      <w:r>
        <w:rPr>
          <w:bCs/>
          <w:b/>
        </w:rPr>
        <w:t xml:space="preserve"> </w:t>
      </w:r>
      <w:r>
        <w:rPr>
          <w:bCs/>
          <w:b/>
        </w:rPr>
        <w:t xml:space="preserve">both are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mainstream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segments.</w:t>
      </w:r>
      <w:r>
        <w:t xml:space="preserve"> </w:t>
      </w:r>
      <w:r>
        <w:t xml:space="preserve">Global Investors transact at meaningfully higher</w:t>
      </w:r>
      <w:r>
        <w:t xml:space="preserve"> </w:t>
      </w:r>
      <w:r>
        <w:t xml:space="preserve">price points and use financing only a quarter of the time — investment-oriented</w:t>
      </w:r>
      <w:r>
        <w:t xml:space="preserve"> </w:t>
      </w:r>
      <w:r>
        <w:t xml:space="preserve">messaging (yield, appreciation potential, portfolio diversification) will resonate</w:t>
      </w:r>
      <w:r>
        <w:t xml:space="preserve"> </w:t>
      </w:r>
      <w:r>
        <w:t xml:space="preserve">more than the home-buying narrative that fits Personal-Use Buyers.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Re-evaluate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Corporate Buyers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go-to-market assumption.</w:t>
      </w:r>
      <w:r>
        <w:t xml:space="preserve"> </w:t>
      </w:r>
      <w:r>
        <w:t xml:space="preserve">Corporate clients did</w:t>
      </w:r>
      <w:r>
        <w:t xml:space="preserve"> </w:t>
      </w:r>
      <w:r>
        <w:t xml:space="preserve">not form their own behavioural cluster in this dataset — they are distributed roughly</w:t>
      </w:r>
      <w:r>
        <w:t xml:space="preserve"> </w:t>
      </w:r>
      <w:r>
        <w:t xml:space="preserve">proportionally across all four segments. Parcl should not assume</w:t>
      </w:r>
      <w:r>
        <w:t xml:space="preserve"> </w:t>
      </w:r>
      <w:r>
        <w:rPr>
          <w:rStyle w:val="VerbatimChar"/>
        </w:rPr>
        <w:t xml:space="preserve">client_type =    Company</w:t>
      </w:r>
      <w:r>
        <w:t xml:space="preserve"> </w:t>
      </w:r>
      <w:r>
        <w:t xml:space="preserve">alone predicts distinct behaviour; if a dedicated corporate-investor</w:t>
      </w:r>
      <w:r>
        <w:t xml:space="preserve"> </w:t>
      </w:r>
      <w:r>
        <w:t xml:space="preserve">strategy is a priority, additional corporate-specific data (procurement cycles, deal</w:t>
      </w:r>
      <w:r>
        <w:t xml:space="preserve"> </w:t>
      </w:r>
      <w:r>
        <w:t xml:space="preserve">size caps, portfolio mandates) should be captured going forward to make that segment</w:t>
      </w:r>
      <w:r>
        <w:t xml:space="preserve"> </w:t>
      </w:r>
      <w:r>
        <w:t xml:space="preserve">separable.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Double down on Website and Agency channels, but track referral quality by</w:t>
      </w:r>
      <w:r>
        <w:rPr>
          <w:bCs/>
          <w:b/>
        </w:rPr>
        <w:t xml:space="preserve"> </w:t>
      </w:r>
      <w:r>
        <w:rPr>
          <w:bCs/>
          <w:b/>
        </w:rPr>
        <w:t xml:space="preserve">segment.</w:t>
      </w:r>
      <w:r>
        <w:t xml:space="preserve"> </w:t>
      </w:r>
      <w:r>
        <w:t xml:space="preserve">Website (55%) and Agency (35%) referrals dominate; because segment</w:t>
      </w:r>
      <w:r>
        <w:t xml:space="preserve"> </w:t>
      </w:r>
      <w:r>
        <w:t xml:space="preserve">composition varies little by channel today, Parcl has an opportunity to test</w:t>
      </w:r>
      <w:r>
        <w:t xml:space="preserve"> </w:t>
      </w:r>
      <w:r>
        <w:t xml:space="preserve">channel-specific creative aimed at each of the four segments and measure whether</w:t>
      </w:r>
      <w:r>
        <w:t xml:space="preserve"> </w:t>
      </w:r>
      <w:r>
        <w:t xml:space="preserve">segment-aware campaigns lift conversion versus today’s undifferentiated approach.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Use the interactive dashboard for ongoing monitoring.</w:t>
      </w:r>
      <w:r>
        <w:t xml:space="preserve"> </w:t>
      </w:r>
      <w:r>
        <w:t xml:space="preserve">Because silhouette scores</w:t>
      </w:r>
      <w:r>
        <w:t xml:space="preserve"> </w:t>
      </w:r>
      <w:r>
        <w:t xml:space="preserve">indicate moderate (not razor-sharp) cluster separation, segment membership should be</w:t>
      </w:r>
      <w:r>
        <w:t xml:space="preserve"> </w:t>
      </w:r>
      <w:r>
        <w:t xml:space="preserve">refreshed periodically as new transactions arrive, and marketing/sales teams should</w:t>
      </w:r>
      <w:r>
        <w:t xml:space="preserve"> </w:t>
      </w:r>
      <w:r>
        <w:t xml:space="preserve">treat segment labels as a strong prior for targeting rather than an immutable</w:t>
      </w:r>
      <w:r>
        <w:t xml:space="preserve"> </w:t>
      </w:r>
      <w:r>
        <w:t xml:space="preserve">classification.</w:t>
      </w:r>
    </w:p>
    <w:bookmarkEnd w:id="75"/>
    <w:bookmarkStart w:id="76" w:name="deliverables"/>
    <w:p>
      <w:pPr>
        <w:pStyle w:val="Heading2"/>
      </w:pPr>
      <w:r>
        <w:t xml:space="preserve">7. Deliverables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Cleaned &amp; feature-engineered client dataset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data/clustered_clients.csv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Cluster summary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data/cluster_summary.csv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k-selection evaluation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data/k_evaluation.csv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Reproducible ML pipeline (cleaning → clustering)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src/data_processing.py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src/clustering.py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src/run_analysis.py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Trained model artefacts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models/*.joblib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EDA &amp; clustering figures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reports/figures/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Interactive Streamlit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app/streamlit_app.py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This research paper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reports/research_paper.md</w:t>
            </w:r>
          </w:p>
        </w:tc>
      </w:tr>
    </w:tbl>
    <w:bookmarkEnd w:id="76"/>
    <w:bookmarkStart w:id="77" w:name="limitations-future-work"/>
    <w:p>
      <w:pPr>
        <w:pStyle w:val="Heading2"/>
      </w:pPr>
      <w:r>
        <w:t xml:space="preserve">8. Limitations &amp; Future Work</w:t>
      </w:r>
    </w:p>
    <w:p>
      <w:pPr>
        <w:numPr>
          <w:ilvl w:val="0"/>
          <w:numId w:val="1013"/>
        </w:numPr>
        <w:pStyle w:val="Compact"/>
      </w:pPr>
      <w:r>
        <w:t xml:space="preserve">Silhouette scores (0.13–0.16) indicate the four segments, while validated across two</w:t>
      </w:r>
      <w:r>
        <w:t xml:space="preserve"> </w:t>
      </w:r>
      <w:r>
        <w:t xml:space="preserve">clustering algorithms (ARI = 0.586), are</w:t>
      </w:r>
      <w:r>
        <w:t xml:space="preserve"> </w:t>
      </w:r>
      <w:r>
        <w:rPr>
          <w:bCs/>
          <w:b/>
        </w:rPr>
        <w:t xml:space="preserve">moderately</w:t>
      </w:r>
      <w:r>
        <w:t xml:space="preserve"> </w:t>
      </w:r>
      <w:r>
        <w:t xml:space="preserve">rather than sharply separated —</w:t>
      </w:r>
      <w:r>
        <w:t xml:space="preserve"> </w:t>
      </w:r>
      <w:r>
        <w:t xml:space="preserve">appropriate for directional targeting, less appropriate for hard eligibility rules.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region</w:t>
      </w:r>
      <w:r>
        <w:t xml:space="preserve"> </w:t>
      </w:r>
      <w:r>
        <w:t xml:space="preserve">was excluded from clustering due to high cardinality relative to dataset size;</w:t>
      </w:r>
      <w:r>
        <w:t xml:space="preserve"> </w:t>
      </w:r>
      <w:r>
        <w:t xml:space="preserve">a larger dataset or a grouped/frequency-encoded region feature could allow geography to</w:t>
      </w:r>
      <w:r>
        <w:t xml:space="preserve"> </w:t>
      </w:r>
      <w:r>
        <w:t xml:space="preserve">contribute directly to segmentation in future iterations.</w:t>
      </w:r>
    </w:p>
    <w:p>
      <w:pPr>
        <w:numPr>
          <w:ilvl w:val="0"/>
          <w:numId w:val="1013"/>
        </w:numPr>
        <w:pStyle w:val="Compact"/>
      </w:pPr>
      <w:r>
        <w:t xml:space="preserve">The dataset does not include repeat-visit or engagement data (site visits, email opens,</w:t>
      </w:r>
      <w:r>
        <w:t xml:space="preserve"> </w:t>
      </w:r>
      <w:r>
        <w:t xml:space="preserve">time-to-decision), which would likely sharpen segment separation if incorporated.</w:t>
      </w:r>
    </w:p>
    <w:p>
      <w:pPr>
        <w:numPr>
          <w:ilvl w:val="0"/>
          <w:numId w:val="1013"/>
        </w:numPr>
        <w:pStyle w:val="Compact"/>
      </w:pPr>
      <w:r>
        <w:t xml:space="preserve">Corporate buyers, while not separable in this dataset, may become a distinct segment</w:t>
      </w:r>
      <w:r>
        <w:t xml:space="preserve"> </w:t>
      </w:r>
      <w:r>
        <w:t xml:space="preserve">once transaction volume for that group grows or additional B2B-specific fields are</w:t>
      </w:r>
      <w:r>
        <w:t xml:space="preserve"> </w:t>
      </w:r>
      <w:r>
        <w:t xml:space="preserve">captured.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Prepared using Python (pandas, scikit-learn, matplotlib, seaborn) and Streamlit. Full</w:t>
      </w:r>
      <w:r>
        <w:rPr>
          <w:iCs/>
          <w:i/>
        </w:rPr>
        <w:t xml:space="preserve"> </w:t>
      </w:r>
      <w:r>
        <w:rPr>
          <w:iCs/>
          <w:i/>
        </w:rPr>
        <w:t xml:space="preserve">source code and reproduction instructions are in the accompanying GitHub repository’s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README.md</w:t>
      </w:r>
      <w:r>
        <w:rPr>
          <w:iCs/>
          <w:i/>
        </w:rPr>
        <w:t xml:space="preserve">.</w:t>
      </w:r>
    </w:p>
    <w:bookmarkEnd w:id="77"/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27" Target="media/rId27.png" /><Relationship Type="http://schemas.openxmlformats.org/officeDocument/2006/relationships/image" Id="rId61" Target="media/rId61.png" /><Relationship Type="http://schemas.openxmlformats.org/officeDocument/2006/relationships/image" Id="rId31" Target="media/rId31.png" /><Relationship Type="http://schemas.openxmlformats.org/officeDocument/2006/relationships/image" Id="rId58" Target="media/rId58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2026-07-26T10:16:42Z</dcterms:created>
  <dcterms:modified xsi:type="dcterms:W3CDTF">2026-07-26T10:16:42Z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