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THE EUROPEAN CENTRAL BANK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Executive Summary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Customer Segmentation &amp; Churn Pattern Analytics in European Banking</w:t>
      </w:r>
    </w:p>
    <w:p>
      <w:pPr>
        <w:pBdr>
          <w:bottom w:val="single" w:color="1F3864" w:sz="6" w:space="4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Purpose</w:t>
      </w:r>
    </w:p>
    <w:p>
      <w:pPr>
        <w:spacing w:after="160"/>
      </w:pPr>
      <w:r>
        <w:rPr>
          <w:sz w:val="22"/>
          <w:szCs w:val="22"/>
        </w:rPr>
        <w:t xml:space="preserve">This summary presents the findings of a segmentation-driven analysis of retail banking churn across the Bank's operations in France, Spain, and Germany, based on 10,000 customer records. It is intended to give stakeholders a concise, decision-ready view of where churn risk concentrates and what actions are recommended.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Headline Metrics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20.37%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Overall Churn Rate</w:t>
            </w:r>
          </w:p>
        </w:tc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55A11"/>
                <w:sz w:val="30"/>
                <w:szCs w:val="30"/>
              </w:rPr>
              <w:t xml:space="preserve">25.08%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High-Value Churn Ratio</w:t>
            </w:r>
          </w:p>
        </w:tc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Germany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Highest-Risk Market</w:t>
            </w:r>
          </w:p>
        </w:tc>
        <w:tc>
          <w:tcPr>
            <w:tcW w:type="dxa" w:w="2500"/>
            <w:shd w:fill="F2F2F2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46–60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Highest-Risk Age Band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Roughly one in five customers (20.37%) has churned — a material, addressable share of the customer base.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Germany shows the highest churn rate of the three markets, concentrated specifically among customers aged 46–60.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Customers holding three or more products churn at a substantially higher rate than those holding one or two — cross-sell volume does not translate into loyalty in this population.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Inactive members churn at roughly double the rate of active members, making activity status a reliable, low-cost early-warning signal.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High-value customers (top-half balance and income) churn at 25.08%, above the 20.37% base rate — the Bank is losing disproportionately profitable relationships.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Credit score and tenure show weak standalone relationships with churn and are lower-priority targeting variables.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Launch a targeted retention campaign for German customers aged 46–60, the highest-concentration risk segment identified.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Treat crossing into 3+ products as a relationship check-in trigger, not a further cross-sell opportunity.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Deploy automated alerts on activity-status changes, paired with prompt re-engagement outreach.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Establish a dedicated high-value retention track with relationship-manager coverage, separate from mass-market campaigns.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Reallocate retention spend away from credit-score- and tenure-based targeting toward the segments above.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Deliverables</w:t>
      </w:r>
    </w:p>
    <w:p>
      <w:pPr>
        <w:spacing w:after="160"/>
      </w:pPr>
      <w:r>
        <w:rPr>
          <w:color w:val="404040"/>
          <w:sz w:val="22"/>
          <w:szCs w:val="22"/>
        </w:rPr>
        <w:t xml:space="preserve">This summary is accompanied by a full research paper (methodology, exploratory data analysis, and detailed findings) and a live, filterable Streamlit dashboard covering overall churn summary, geography-wise visualization, age &amp; tenure comparison, and a high-value customer explorer — enabling continuous, self-service monitoring rather than static reporting.</w:t>
      </w:r>
    </w:p>
    <w:p>
      <w:pPr>
        <w:pBdr>
          <w:top w:val="single" w:color="BFBFBF" w:sz="4" w:space="4"/>
        </w:pBdr>
        <w:spacing w:before="400"/>
      </w:pPr>
    </w:p>
    <w:p>
      <w:pPr>
        <w:spacing w:before="150"/>
      </w:pPr>
      <w:r>
        <w:rPr>
          <w:i/>
          <w:iCs/>
          <w:color w:val="595959"/>
          <w:sz w:val="16"/>
          <w:szCs w:val="16"/>
        </w:rPr>
        <w:t xml:space="preserve">Prepared as part of the Customer Segmentation &amp; Churn Pattern Analytics project · Unified Mentor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2026-07-26T10:49:06.883Z</dcterms:created>
  <dcterms:modified xsi:type="dcterms:W3CDTF">2026-07-26T10:49:06.893Z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