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THE EUROPEAN CENTRAL BANK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Executive Summary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Predictive Modeling and Risk Scoring for Bank Customer Churn</w:t>
      </w:r>
    </w:p>
    <w:p>
      <w:pPr>
        <w:pBdr>
          <w:bottom w:val="single" w:color="1F3864" w:sz="6" w:space="4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Purpose</w:t>
      </w:r>
    </w:p>
    <w:p>
      <w:pPr>
        <w:spacing w:after="160"/>
      </w:pPr>
      <w:r>
        <w:rPr>
          <w:sz w:val="22"/>
          <w:szCs w:val="22"/>
        </w:rPr>
        <w:t xml:space="preserve">This summary presents a predictive churn intelligence system built for the Bank's retail operations in France, Spain, and Germany. Rather than explaining churn after it happens, the system assigns every customer a live churn probability so that retention teams can act before a customer leaves.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Headline Metrics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0.870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Model ROC-AUC</w:t>
            </w:r>
          </w:p>
        </w:tc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87.2%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Accuracy</w:t>
            </w:r>
          </w:p>
        </w:tc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55A11"/>
                <w:sz w:val="30"/>
                <w:szCs w:val="30"/>
              </w:rPr>
              <w:t xml:space="preserve">Gradient Boosting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Best Model</w:t>
            </w:r>
          </w:p>
        </w:tc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Product Count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Top Churn Driver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Five candidate models were trained and compared; a Gradient Boosting model was selected as the best performer, achieving an ROC-AUC of 0.870 and 87.2% accuracy on held-out customers.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Product count — and specifically its interaction with customer engagement — is the single strongest churn driver, ahead of age, balance, and geography.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Age has a distinct risk profile: churn probability rises through the 40s and peaks in the early-to-mid 50s before declining.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Activity status is both highly predictive and directly actionable, making it a strong candidate for an automated early-warning trigger.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Every prediction is explainable at both the population level (feature importance, partial dependence) and the individual customer level (local contribution analysis), supporting regulatory and business transparency requirements.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Deploy the model as a live scoring layer for relationship managers, prioritizing customers flagged as High Risk for direct outreach.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Route any customer crossing into a 3rd or 4th product into a proactive relationship check-in rather than further product marketing.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Set the risk-flagging threshold per retention channel — lower for low-cost outreach (email), higher for high-cost outreach (relationship-manager calls) — using the adjustable threshold control in the dashboard.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the What-If Scenario Simulator to pre-test whether a proposed retention offer is projected to lower a specific customer's risk before committing the offer.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Refresh the model periodically as new churn outcomes accumulate, using the built-in cross-validation check to confirm stability before redeploying.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Deliverables</w:t>
      </w:r>
    </w:p>
    <w:p>
      <w:pPr>
        <w:spacing w:after="160"/>
      </w:pPr>
      <w:r>
        <w:rPr>
          <w:color w:val="404040"/>
          <w:sz w:val="22"/>
          <w:szCs w:val="22"/>
        </w:rPr>
        <w:t xml:space="preserve">This summary is accompanied by a full research paper (methodology, model evaluation, and explainability analysis) and a live Streamlit application providing a customer churn risk calculator, a probability-distribution monitor, a feature importance dashboard, and a what-if scenario simulator — giving the Bank a self-service, proactive alternative to static churn reporting.</w:t>
      </w:r>
    </w:p>
    <w:p>
      <w:pPr>
        <w:pBdr>
          <w:top w:val="single" w:color="BFBFBF" w:sz="4" w:space="4"/>
        </w:pBdr>
        <w:spacing w:before="400"/>
      </w:pPr>
    </w:p>
    <w:p>
      <w:pPr>
        <w:spacing w:before="150"/>
      </w:pPr>
      <w:r>
        <w:rPr>
          <w:i/>
          <w:iCs/>
          <w:color w:val="595959"/>
          <w:sz w:val="16"/>
          <w:szCs w:val="16"/>
        </w:rPr>
        <w:t xml:space="preserve">Prepared as part of the Predictive Modeling and Risk Scoring for Bank Customer Churn project · Unified Mentor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2026-07-26T15:53:18.888Z</dcterms:created>
  <dcterms:modified xsi:type="dcterms:W3CDTF">2026-07-26T15:53:18.899Z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