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20"/>
        </w:rPr>
        <w:t>GOVERNMENT OF INDIA • MINISTRY OF RURAL DEVELOPMENT</w:t>
        <w:br/>
        <w:t>DEPARTMENT OF LAND RESOURCES (DoLR)</w:t>
        <w:br/>
        <w:br/>
      </w:r>
      <w:r>
        <w:rPr>
          <w:rFonts w:ascii="Arial" w:hAnsi="Arial"/>
          <w:b/>
          <w:color w:val="071426"/>
          <w:sz w:val="36"/>
        </w:rPr>
        <w:t>NATIONAL LAND ACQUISITION &amp; MANAGEMENT SYSTEM (NLAMS)</w:t>
        <w:br/>
      </w:r>
      <w:r>
        <w:rPr>
          <w:rFonts w:ascii="Arial" w:hAnsi="Arial"/>
          <w:b/>
          <w:color w:val="EA580C"/>
          <w:sz w:val="22"/>
        </w:rPr>
        <w:t>COMPREHENSIVE COMPETITIVE ANALYSIS &amp; MARKET ADVANTAGE</w:t>
        <w:br/>
        <w:t>Smart India Hackathon (SIH) — Problem Statement ID: 26016</w:t>
        <w:br/>
      </w:r>
    </w:p>
    <w:p>
      <w:pPr>
        <w:spacing w:after="20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Pr>
          <w:p>
            <w:r>
              <w:rPr>
                <w:b/>
                <w:color w:val="071426"/>
              </w:rPr>
              <w:t>📌 STRATEGIC MARKET CONTEXT</w:t>
              <w:br/>
            </w:r>
            <w:r>
              <w:rPr>
                <w:color w:val="475569"/>
                <w:sz w:val="19"/>
              </w:rPr>
              <w:t>In India's current governance ecosystem, public land acquisition is plagued by fragmented, siloed, and state-specific legacy systems. NLAMS replaces paper-based delays and disjointed portals with a unified, statutory digital infrastructure that connects Central Ministries, State Revenue Departments, District Collectors, Competent Authorities (CALAs), and affected Citizens.</w:t>
            </w:r>
          </w:p>
        </w:tc>
      </w:tr>
    </w:tbl>
    <w:p>
      <w:pPr>
        <w:spacing w:after="280"/>
      </w:pPr>
    </w:p>
    <w:p>
      <w:pPr>
        <w:spacing w:before="280" w:after="120"/>
      </w:pPr>
      <w:r>
        <w:rPr>
          <w:rFonts w:ascii="Arial" w:hAnsi="Arial"/>
          <w:b/>
          <w:color w:val="071426"/>
          <w:sz w:val="26"/>
        </w:rPr>
        <w:t>1. COMPETITIVE COMPARISON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071426"/>
            <w:tcMar>
              <w:top w:w="100" w:type="dxa"/>
              <w:bottom w:w="100" w:type="dxa"/>
              <w:left w:w="120" w:type="dxa"/>
              <w:right w:w="120" w:type="dxa"/>
            </w:tcMar>
          </w:tcPr>
          <w:p>
            <w:r>
              <w:rPr>
                <w:b/>
                <w:color w:val="FFFFFF"/>
                <w:sz w:val="18"/>
              </w:rPr>
              <w:t>Existing System / Platform</w:t>
            </w:r>
          </w:p>
        </w:tc>
        <w:tc>
          <w:tcPr>
            <w:tcW w:type="dxa" w:w="2484"/>
            <w:shd w:fill="071426"/>
            <w:tcMar>
              <w:top w:w="100" w:type="dxa"/>
              <w:bottom w:w="100" w:type="dxa"/>
              <w:left w:w="120" w:type="dxa"/>
              <w:right w:w="120" w:type="dxa"/>
            </w:tcMar>
          </w:tcPr>
          <w:p>
            <w:r>
              <w:rPr>
                <w:b/>
                <w:color w:val="FFFFFF"/>
                <w:sz w:val="18"/>
              </w:rPr>
              <w:t>Current Focus &amp; Scope</w:t>
            </w:r>
          </w:p>
        </w:tc>
        <w:tc>
          <w:tcPr>
            <w:tcW w:type="dxa" w:w="2484"/>
            <w:shd w:fill="071426"/>
            <w:tcMar>
              <w:top w:w="100" w:type="dxa"/>
              <w:bottom w:w="100" w:type="dxa"/>
              <w:left w:w="120" w:type="dxa"/>
              <w:right w:w="120" w:type="dxa"/>
            </w:tcMar>
          </w:tcPr>
          <w:p>
            <w:r>
              <w:rPr>
                <w:b/>
                <w:color w:val="FFFFFF"/>
                <w:sz w:val="18"/>
              </w:rPr>
              <w:t>Critical Gaps &amp; Limitations</w:t>
            </w:r>
          </w:p>
        </w:tc>
        <w:tc>
          <w:tcPr>
            <w:tcW w:type="dxa" w:w="2484"/>
            <w:shd w:fill="071426"/>
            <w:tcMar>
              <w:top w:w="100" w:type="dxa"/>
              <w:bottom w:w="100" w:type="dxa"/>
              <w:left w:w="120" w:type="dxa"/>
              <w:right w:w="120" w:type="dxa"/>
            </w:tcMar>
          </w:tcPr>
          <w:p>
            <w:r>
              <w:rPr>
                <w:b/>
                <w:color w:val="FFFFFF"/>
                <w:sz w:val="18"/>
              </w:rPr>
              <w:t>Why NLAMS is Superior</w:t>
            </w:r>
          </w:p>
        </w:tc>
      </w:tr>
      <w:tr>
        <w:tc>
          <w:tcPr>
            <w:tcW w:type="dxa" w:w="2484"/>
            <w:shd w:fill="F8FAFC"/>
            <w:tcMar>
              <w:top w:w="80" w:type="dxa"/>
              <w:bottom w:w="80" w:type="dxa"/>
              <w:left w:w="100" w:type="dxa"/>
              <w:right w:w="100" w:type="dxa"/>
            </w:tcMar>
          </w:tcPr>
          <w:p>
            <w:r>
              <w:rPr>
                <w:b/>
                <w:color w:val="071426"/>
                <w:sz w:val="17"/>
              </w:rPr>
              <w:t>BhoomiRashi</w:t>
              <w:br/>
              <w:t>(MoRTH / NIC)</w:t>
            </w:r>
          </w:p>
        </w:tc>
        <w:tc>
          <w:tcPr>
            <w:tcW w:type="dxa" w:w="2484"/>
            <w:shd w:fill="F8FAFC"/>
            <w:tcMar>
              <w:top w:w="80" w:type="dxa"/>
              <w:bottom w:w="80" w:type="dxa"/>
              <w:left w:w="100" w:type="dxa"/>
              <w:right w:w="100" w:type="dxa"/>
            </w:tcMar>
          </w:tcPr>
          <w:p>
            <w:r>
              <w:rPr>
                <w:color w:val="475569"/>
                <w:sz w:val="17"/>
              </w:rPr>
              <w:t>National Highways Only (NH Act 1956)</w:t>
            </w:r>
          </w:p>
        </w:tc>
        <w:tc>
          <w:tcPr>
            <w:tcW w:type="dxa" w:w="2484"/>
            <w:shd w:fill="F8FAFC"/>
            <w:tcMar>
              <w:top w:w="80" w:type="dxa"/>
              <w:bottom w:w="80" w:type="dxa"/>
              <w:left w:w="100" w:type="dxa"/>
              <w:right w:w="100" w:type="dxa"/>
            </w:tcMar>
          </w:tcPr>
          <w:p>
            <w:r>
              <w:rPr>
                <w:color w:val="475569"/>
                <w:sz w:val="17"/>
              </w:rPr>
              <w:t>• Limited exclusively to NHAI highway projects.</w:t>
              <w:br/>
              <w:t>• Zero multi-sector RFCTLARR Act 2013 coverage.</w:t>
              <w:br/>
              <w:t>• No real-time GIS parcel vector overlays.</w:t>
              <w:br/>
              <w:t>• No Second Schedule R&amp;R tracking.</w:t>
              <w:br/>
              <w:t>• No Section 64 LARRDA tribunal docketing.</w:t>
            </w:r>
          </w:p>
        </w:tc>
        <w:tc>
          <w:tcPr>
            <w:tcW w:type="dxa" w:w="2484"/>
            <w:shd w:fill="F8FAFC"/>
            <w:tcMar>
              <w:top w:w="80" w:type="dxa"/>
              <w:bottom w:w="80" w:type="dxa"/>
              <w:left w:w="100" w:type="dxa"/>
              <w:right w:w="100" w:type="dxa"/>
            </w:tcMar>
          </w:tcPr>
          <w:p>
            <w:r>
              <w:rPr>
                <w:b/>
                <w:color w:val="059669"/>
                <w:sz w:val="17"/>
              </w:rPr>
              <w:t>Unified multi-sector platform (Highways, Railways, Industrial Corridors, State Infra) with live cadastral GIS overlays and automated R&amp;R ledgers.</w:t>
            </w:r>
          </w:p>
        </w:tc>
      </w:tr>
      <w:tr>
        <w:tc>
          <w:tcPr>
            <w:tcW w:type="dxa" w:w="2484"/>
            <w:shd w:fill="FFFFFF"/>
            <w:tcMar>
              <w:top w:w="80" w:type="dxa"/>
              <w:bottom w:w="80" w:type="dxa"/>
              <w:left w:w="100" w:type="dxa"/>
              <w:right w:w="100" w:type="dxa"/>
            </w:tcMar>
          </w:tcPr>
          <w:p>
            <w:r>
              <w:rPr>
                <w:b/>
                <w:color w:val="071426"/>
                <w:sz w:val="17"/>
              </w:rPr>
              <w:t>State Bhulekh Portals</w:t>
              <w:br/>
              <w:t>(UP Bhulekh, MahaBhulekh, Bhoomi KA)</w:t>
            </w:r>
          </w:p>
        </w:tc>
        <w:tc>
          <w:tcPr>
            <w:tcW w:type="dxa" w:w="2484"/>
            <w:shd w:fill="FFFFFF"/>
            <w:tcMar>
              <w:top w:w="80" w:type="dxa"/>
              <w:bottom w:w="80" w:type="dxa"/>
              <w:left w:w="100" w:type="dxa"/>
              <w:right w:w="100" w:type="dxa"/>
            </w:tcMar>
          </w:tcPr>
          <w:p>
            <w:r>
              <w:rPr>
                <w:color w:val="475569"/>
                <w:sz w:val="17"/>
              </w:rPr>
              <w:t>State Land Records &amp; Tehsil Mutation</w:t>
            </w:r>
          </w:p>
        </w:tc>
        <w:tc>
          <w:tcPr>
            <w:tcW w:type="dxa" w:w="2484"/>
            <w:shd w:fill="FFFFFF"/>
            <w:tcMar>
              <w:top w:w="80" w:type="dxa"/>
              <w:bottom w:w="80" w:type="dxa"/>
              <w:left w:w="100" w:type="dxa"/>
              <w:right w:w="100" w:type="dxa"/>
            </w:tcMar>
          </w:tcPr>
          <w:p>
            <w:r>
              <w:rPr>
                <w:color w:val="475569"/>
                <w:sz w:val="17"/>
              </w:rPr>
              <w:t>• Fragmented across 28 states with zero national standardization.</w:t>
              <w:br/>
              <w:t>• Cannot manage multi-district linear infrastructure corridors.</w:t>
              <w:br/>
              <w:t>• No automated First Schedule statutory valuation math.</w:t>
            </w:r>
          </w:p>
        </w:tc>
        <w:tc>
          <w:tcPr>
            <w:tcW w:type="dxa" w:w="2484"/>
            <w:shd w:fill="FFFFFF"/>
            <w:tcMar>
              <w:top w:w="80" w:type="dxa"/>
              <w:bottom w:w="80" w:type="dxa"/>
              <w:left w:w="100" w:type="dxa"/>
              <w:right w:w="100" w:type="dxa"/>
            </w:tcMar>
          </w:tcPr>
          <w:p>
            <w:r>
              <w:rPr>
                <w:b/>
                <w:color w:val="059669"/>
                <w:sz w:val="17"/>
              </w:rPr>
              <w:t>Integrates 14-digit ULPIN (Bhu-Aadhaar) to automatically lock records across state registries the instant Section 11 is notified.</w:t>
            </w:r>
          </w:p>
        </w:tc>
      </w:tr>
      <w:tr>
        <w:tc>
          <w:tcPr>
            <w:tcW w:type="dxa" w:w="2484"/>
            <w:shd w:fill="F8FAFC"/>
            <w:tcMar>
              <w:top w:w="80" w:type="dxa"/>
              <w:bottom w:w="80" w:type="dxa"/>
              <w:left w:w="100" w:type="dxa"/>
              <w:right w:w="100" w:type="dxa"/>
            </w:tcMar>
          </w:tcPr>
          <w:p>
            <w:r>
              <w:rPr>
                <w:b/>
                <w:color w:val="071426"/>
                <w:sz w:val="17"/>
              </w:rPr>
              <w:t>PM Gati Shakti NMP</w:t>
              <w:br/>
              <w:t>(MoCI / BISAG-N)</w:t>
            </w:r>
          </w:p>
        </w:tc>
        <w:tc>
          <w:tcPr>
            <w:tcW w:type="dxa" w:w="2484"/>
            <w:shd w:fill="F8FAFC"/>
            <w:tcMar>
              <w:top w:w="80" w:type="dxa"/>
              <w:bottom w:w="80" w:type="dxa"/>
              <w:left w:w="100" w:type="dxa"/>
              <w:right w:w="100" w:type="dxa"/>
            </w:tcMar>
          </w:tcPr>
          <w:p>
            <w:r>
              <w:rPr>
                <w:color w:val="475569"/>
                <w:sz w:val="17"/>
              </w:rPr>
              <w:t>Macro Multi-Modal Infrastructure Planning</w:t>
            </w:r>
          </w:p>
        </w:tc>
        <w:tc>
          <w:tcPr>
            <w:tcW w:type="dxa" w:w="2484"/>
            <w:shd w:fill="F8FAFC"/>
            <w:tcMar>
              <w:top w:w="80" w:type="dxa"/>
              <w:bottom w:w="80" w:type="dxa"/>
              <w:left w:w="100" w:type="dxa"/>
              <w:right w:w="100" w:type="dxa"/>
            </w:tcMar>
          </w:tcPr>
          <w:p>
            <w:r>
              <w:rPr>
                <w:color w:val="475569"/>
                <w:sz w:val="17"/>
              </w:rPr>
              <w:t>• High-level macro planning tool only.</w:t>
              <w:br/>
              <w:t>• Does not handle micro-level compensation, Section 15 inquiries, award slips, or PFMS DBT payouts.</w:t>
            </w:r>
          </w:p>
        </w:tc>
        <w:tc>
          <w:tcPr>
            <w:tcW w:type="dxa" w:w="2484"/>
            <w:shd w:fill="F8FAFC"/>
            <w:tcMar>
              <w:top w:w="80" w:type="dxa"/>
              <w:bottom w:w="80" w:type="dxa"/>
              <w:left w:w="100" w:type="dxa"/>
              <w:right w:w="100" w:type="dxa"/>
            </w:tcMar>
          </w:tcPr>
          <w:p>
            <w:r>
              <w:rPr>
                <w:b/>
                <w:color w:val="059669"/>
                <w:sz w:val="17"/>
              </w:rPr>
              <w:t>Operates at the grassroots micro-execution level, executing actual awards, public hearings, and PFMS direct benefit transfers.</w:t>
            </w:r>
          </w:p>
        </w:tc>
      </w:tr>
      <w:tr>
        <w:tc>
          <w:tcPr>
            <w:tcW w:type="dxa" w:w="2484"/>
            <w:shd w:fill="FFFFFF"/>
            <w:tcMar>
              <w:top w:w="80" w:type="dxa"/>
              <w:bottom w:w="80" w:type="dxa"/>
              <w:left w:w="100" w:type="dxa"/>
              <w:right w:w="100" w:type="dxa"/>
            </w:tcMar>
          </w:tcPr>
          <w:p>
            <w:r>
              <w:rPr>
                <w:b/>
                <w:color w:val="071426"/>
                <w:sz w:val="17"/>
              </w:rPr>
              <w:t>Commercial Systems</w:t>
              <w:br/>
              <w:t>(Trimble Landfolio, Esri Parcel Fabric)</w:t>
            </w:r>
          </w:p>
        </w:tc>
        <w:tc>
          <w:tcPr>
            <w:tcW w:type="dxa" w:w="2484"/>
            <w:shd w:fill="FFFFFF"/>
            <w:tcMar>
              <w:top w:w="80" w:type="dxa"/>
              <w:bottom w:w="80" w:type="dxa"/>
              <w:left w:w="100" w:type="dxa"/>
              <w:right w:w="100" w:type="dxa"/>
            </w:tcMar>
          </w:tcPr>
          <w:p>
            <w:r>
              <w:rPr>
                <w:color w:val="475569"/>
                <w:sz w:val="17"/>
              </w:rPr>
              <w:t>Global Proprietary Enterprise Land Mgmt</w:t>
            </w:r>
          </w:p>
        </w:tc>
        <w:tc>
          <w:tcPr>
            <w:tcW w:type="dxa" w:w="2484"/>
            <w:shd w:fill="FFFFFF"/>
            <w:tcMar>
              <w:top w:w="80" w:type="dxa"/>
              <w:bottom w:w="80" w:type="dxa"/>
              <w:left w:w="100" w:type="dxa"/>
              <w:right w:w="100" w:type="dxa"/>
            </w:tcMar>
          </w:tcPr>
          <w:p>
            <w:r>
              <w:rPr>
                <w:color w:val="475569"/>
                <w:sz w:val="17"/>
              </w:rPr>
              <w:t>• Multi-million dollar proprietary licensing costs.</w:t>
              <w:br/>
              <w:t>• Not customized for Indian statutory acts (RFCTLARR 2013).</w:t>
              <w:br/>
              <w:t>• Zero native integration with PFMS, Aadhaar, or ULPIN.</w:t>
            </w:r>
          </w:p>
        </w:tc>
        <w:tc>
          <w:tcPr>
            <w:tcW w:type="dxa" w:w="2484"/>
            <w:shd w:fill="FFFFFF"/>
            <w:tcMar>
              <w:top w:w="80" w:type="dxa"/>
              <w:bottom w:w="80" w:type="dxa"/>
              <w:left w:w="100" w:type="dxa"/>
              <w:right w:w="100" w:type="dxa"/>
            </w:tcMar>
          </w:tcPr>
          <w:p>
            <w:r>
              <w:rPr>
                <w:b/>
                <w:color w:val="059669"/>
                <w:sz w:val="17"/>
              </w:rPr>
              <w:t>Purpose-built on modern open-source web and mobile technologies, customized for Indian statutory compliance at zero license fee.</w:t>
            </w:r>
          </w:p>
        </w:tc>
      </w:tr>
    </w:tbl>
    <w:p>
      <w:pPr>
        <w:spacing w:after="280"/>
      </w:pPr>
    </w:p>
    <w:p>
      <w:pPr>
        <w:spacing w:before="280" w:after="120"/>
      </w:pPr>
      <w:r>
        <w:rPr>
          <w:rFonts w:ascii="Arial" w:hAnsi="Arial"/>
          <w:b/>
          <w:color w:val="071426"/>
          <w:sz w:val="26"/>
        </w:rPr>
        <w:t>2. THE 4 UNMATCHED WINNING DIFFERENTIATORS OF NLAMS</w:t>
      </w:r>
    </w:p>
    <w:p>
      <w:pPr>
        <w:pStyle w:val="ListBullet"/>
        <w:spacing w:after="80"/>
      </w:pPr>
      <w:r>
        <w:rPr>
          <w:b/>
          <w:color w:val="EA580C"/>
          <w:sz w:val="19"/>
        </w:rPr>
        <w:t xml:space="preserve">1. Automated 14-Digit ULPIN Encumbrance Locking: </w:t>
      </w:r>
      <w:r>
        <w:rPr>
          <w:color w:val="475569"/>
          <w:sz w:val="19"/>
        </w:rPr>
        <w:t>Existing systems permit fraudulent property sales after acquisition notices because registry databases are disconnected. NLAMS automatically locks the parcel in the state Bhulekh registry the instant Section 11 is notified, blocking illicit transfers.</w:t>
      </w:r>
    </w:p>
    <w:p>
      <w:pPr>
        <w:pStyle w:val="ListBullet"/>
        <w:spacing w:after="80"/>
      </w:pPr>
      <w:r>
        <w:rPr>
          <w:b/>
          <w:color w:val="EA580C"/>
          <w:sz w:val="19"/>
        </w:rPr>
        <w:t xml:space="preserve">2. End-to-End Quasi-Judicial Dispute Resolution (LARRDA &amp; High Court): </w:t>
      </w:r>
      <w:r>
        <w:rPr>
          <w:color w:val="475569"/>
          <w:sz w:val="19"/>
        </w:rPr>
        <w:t>80% of project delays in India stem from litigation lost in paper files. NLAMS provides dedicated tribunal docketing under Section 64 with mandatory 90-day Collector timers and 60-day High Court appeal windows (Section 74).</w:t>
      </w:r>
    </w:p>
    <w:p>
      <w:pPr>
        <w:pStyle w:val="ListBullet"/>
        <w:spacing w:after="80"/>
      </w:pPr>
      <w:r>
        <w:rPr>
          <w:b/>
          <w:color w:val="EA580C"/>
          <w:sz w:val="19"/>
        </w:rPr>
        <w:t xml:space="preserve">3. On-Ground Mobile Survey App with Offline Caching (Flutter): </w:t>
      </w:r>
      <w:r>
        <w:rPr>
          <w:color w:val="475569"/>
          <w:sz w:val="19"/>
        </w:rPr>
        <w:t>Surveyors traditionally use physical registers, creating 6 to 12 months of manual data entry lag. NLAMS mobile app captures GPS geo-coordinates, tree/structure asset enumerations, and auto-syncs to the cloud.</w:t>
      </w:r>
    </w:p>
    <w:p>
      <w:pPr>
        <w:pStyle w:val="ListBullet"/>
        <w:spacing w:after="80"/>
      </w:pPr>
      <w:r>
        <w:rPr>
          <w:b/>
          <w:color w:val="EA580C"/>
          <w:sz w:val="19"/>
        </w:rPr>
        <w:t xml:space="preserve">4. Predictive AI Delay-Risk Engine: </w:t>
      </w:r>
      <w:r>
        <w:rPr>
          <w:color w:val="475569"/>
          <w:sz w:val="19"/>
        </w:rPr>
        <w:t>Existing tools only provide retrospective reporting after delays occur. NLAMS AI forecasting engine predicts milestone lag in months and prescribes proactive administrative and legal mitigations.</w:t>
      </w:r>
    </w:p>
    <w:p>
      <w:pPr>
        <w:spacing w:after="400"/>
      </w:pPr>
    </w:p>
    <w:p>
      <w:pPr>
        <w:jc w:val="center"/>
      </w:pPr>
      <w:r>
        <w:rPr>
          <w:i/>
          <w:color w:val="475569"/>
          <w:sz w:val="17"/>
        </w:rPr>
        <w:t>— END OF COMPETITIVE ANALYSIS DOCUMENT —</w:t>
        <w:br/>
        <w:t>National Land Acquisition &amp; Management System (NLAMS) • Ministry of Rural Development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