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20"/>
        </w:rPr>
        <w:t>GOVERNMENT OF INDIA • MINISTRY OF RURAL DEVELOPMENT</w:t>
        <w:br/>
        <w:t>DEPARTMENT OF LAND RESOURCES (DoLR)</w:t>
        <w:br/>
        <w:br/>
      </w:r>
      <w:r>
        <w:rPr>
          <w:rFonts w:ascii="Arial" w:hAnsi="Arial"/>
          <w:b/>
          <w:color w:val="071426"/>
          <w:sz w:val="40"/>
        </w:rPr>
        <w:t>NATIONAL LAND ACQUISITION &amp; MANAGEMENT SYSTEM (NLAMS)</w:t>
        <w:br/>
      </w:r>
      <w:r>
        <w:rPr>
          <w:rFonts w:ascii="Arial" w:hAnsi="Arial"/>
          <w:b/>
          <w:color w:val="EA580C"/>
          <w:sz w:val="22"/>
        </w:rPr>
        <w:t>COMPREHENSIVE TECHNICAL ARCHITECTURE &amp; SYSTEM SPECIFICATIONS</w:t>
        <w:br/>
        <w:t>Smart India Hackathon (SIH) — Problem Statement ID: 26016</w:t>
        <w:br/>
      </w:r>
    </w:p>
    <w:p>
      <w:pPr>
        <w:spacing w:after="24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r>
              <w:rPr>
                <w:b/>
                <w:color w:val="071426"/>
              </w:rPr>
              <w:t>📌 SYSTEM OVERVIEW &amp; EXECUTIVE ABSTRACT</w:t>
              <w:br/>
            </w:r>
            <w:r>
              <w:rPr>
                <w:color w:val="475569"/>
                <w:sz w:val="19"/>
              </w:rPr>
              <w:t>NLAMS is a unified, statutory enterprise platform designed to digitize India's public land acquisition lifecycle end-to-end under the RFCTLARR Act, 2013 and sector-specific central legislations (National Highways Act 1956, Railways Act 1989). The platform eliminates physical bottlenecks through 14-digit ULPIN (Bhu-Aadhaar) automated encumbrance locking, GIS cadastral spatial fusion, automated statutory award mathematical engines, Second Schedule R&amp;R entitlement ledgers, Section 64 LARRDA quasi-judicial tracking, and predictive AI delay-risk forecasting.</w:t>
            </w:r>
          </w:p>
        </w:tc>
      </w:tr>
    </w:tbl>
    <w:p>
      <w:pPr>
        <w:spacing w:after="320"/>
      </w:pPr>
    </w:p>
    <w:p>
      <w:pPr>
        <w:spacing w:before="320" w:after="120"/>
      </w:pPr>
      <w:r>
        <w:rPr>
          <w:rFonts w:ascii="Arial" w:hAnsi="Arial"/>
          <w:b/>
          <w:color w:val="071426"/>
          <w:sz w:val="28"/>
        </w:rPr>
        <w:t>1. COMPONENT-WISE TECHNOLOGY STACK &amp; INFRASTRUCTURE</w:t>
      </w:r>
    </w:p>
    <w:tbl>
      <w:tblPr>
        <w:tblW w:type="auto" w:w="0"/>
        <w:jc w:val="center"/>
        <w:tblLook w:firstColumn="1" w:firstRow="1" w:lastColumn="0" w:lastRow="0" w:noHBand="0" w:noVBand="1" w:val="04A0"/>
      </w:tblPr>
      <w:tblGrid>
        <w:gridCol w:w="2484"/>
        <w:gridCol w:w="2484"/>
        <w:gridCol w:w="2484"/>
        <w:gridCol w:w="2484"/>
      </w:tblGrid>
      <w:tr>
        <w:tc>
          <w:tcPr>
            <w:tcW w:type="dxa" w:w="2484"/>
            <w:shd w:fill="071426"/>
            <w:tcMar>
              <w:top w:w="100" w:type="dxa"/>
              <w:bottom w:w="100" w:type="dxa"/>
              <w:left w:w="120" w:type="dxa"/>
              <w:right w:w="120" w:type="dxa"/>
            </w:tcMar>
          </w:tcPr>
          <w:p>
            <w:r>
              <w:rPr>
                <w:b/>
                <w:color w:val="FFFFFF"/>
                <w:sz w:val="18"/>
              </w:rPr>
              <w:t>Layer / Component</w:t>
            </w:r>
          </w:p>
        </w:tc>
        <w:tc>
          <w:tcPr>
            <w:tcW w:type="dxa" w:w="2484"/>
            <w:shd w:fill="071426"/>
            <w:tcMar>
              <w:top w:w="100" w:type="dxa"/>
              <w:bottom w:w="100" w:type="dxa"/>
              <w:left w:w="120" w:type="dxa"/>
              <w:right w:w="120" w:type="dxa"/>
            </w:tcMar>
          </w:tcPr>
          <w:p>
            <w:r>
              <w:rPr>
                <w:b/>
                <w:color w:val="FFFFFF"/>
                <w:sz w:val="18"/>
              </w:rPr>
              <w:t>Technology / Framework</w:t>
            </w:r>
          </w:p>
        </w:tc>
        <w:tc>
          <w:tcPr>
            <w:tcW w:type="dxa" w:w="2484"/>
            <w:shd w:fill="071426"/>
            <w:tcMar>
              <w:top w:w="100" w:type="dxa"/>
              <w:bottom w:w="100" w:type="dxa"/>
              <w:left w:w="120" w:type="dxa"/>
              <w:right w:w="120" w:type="dxa"/>
            </w:tcMar>
          </w:tcPr>
          <w:p>
            <w:r>
              <w:rPr>
                <w:b/>
                <w:color w:val="FFFFFF"/>
                <w:sz w:val="18"/>
              </w:rPr>
              <w:t>Version / Standard</w:t>
            </w:r>
          </w:p>
        </w:tc>
        <w:tc>
          <w:tcPr>
            <w:tcW w:type="dxa" w:w="2484"/>
            <w:shd w:fill="071426"/>
            <w:tcMar>
              <w:top w:w="100" w:type="dxa"/>
              <w:bottom w:w="100" w:type="dxa"/>
              <w:left w:w="120" w:type="dxa"/>
              <w:right w:w="120" w:type="dxa"/>
            </w:tcMar>
          </w:tcPr>
          <w:p>
            <w:r>
              <w:rPr>
                <w:b/>
                <w:color w:val="FFFFFF"/>
                <w:sz w:val="18"/>
              </w:rPr>
              <w:t>Key Responsibility &amp; Role</w:t>
            </w:r>
          </w:p>
        </w:tc>
      </w:tr>
      <w:tr>
        <w:tc>
          <w:tcPr>
            <w:tcW w:type="dxa" w:w="2484"/>
            <w:shd w:fill="F8FAFC"/>
            <w:tcMar>
              <w:top w:w="80" w:type="dxa"/>
              <w:bottom w:w="80" w:type="dxa"/>
              <w:left w:w="100" w:type="dxa"/>
              <w:right w:w="100" w:type="dxa"/>
            </w:tcMar>
          </w:tcPr>
          <w:p>
            <w:r>
              <w:rPr>
                <w:b/>
                <w:color w:val="071426"/>
                <w:sz w:val="17"/>
              </w:rPr>
              <w:t>Web Frontend</w:t>
            </w:r>
          </w:p>
        </w:tc>
        <w:tc>
          <w:tcPr>
            <w:tcW w:type="dxa" w:w="2484"/>
            <w:shd w:fill="F8FAFC"/>
            <w:tcMar>
              <w:top w:w="80" w:type="dxa"/>
              <w:bottom w:w="80" w:type="dxa"/>
              <w:left w:w="100" w:type="dxa"/>
              <w:right w:w="100" w:type="dxa"/>
            </w:tcMar>
          </w:tcPr>
          <w:p>
            <w:r>
              <w:rPr>
                <w:color w:val="475569"/>
                <w:sz w:val="17"/>
              </w:rPr>
              <w:t>React.js 18 + Vite</w:t>
            </w:r>
          </w:p>
        </w:tc>
        <w:tc>
          <w:tcPr>
            <w:tcW w:type="dxa" w:w="2484"/>
            <w:shd w:fill="F8FAFC"/>
            <w:tcMar>
              <w:top w:w="80" w:type="dxa"/>
              <w:bottom w:w="80" w:type="dxa"/>
              <w:left w:w="100" w:type="dxa"/>
              <w:right w:w="100" w:type="dxa"/>
            </w:tcMar>
          </w:tcPr>
          <w:p>
            <w:r>
              <w:rPr>
                <w:color w:val="475569"/>
                <w:sz w:val="17"/>
              </w:rPr>
              <w:t>v18.3 / v8.2</w:t>
            </w:r>
          </w:p>
        </w:tc>
        <w:tc>
          <w:tcPr>
            <w:tcW w:type="dxa" w:w="2484"/>
            <w:shd w:fill="F8FAFC"/>
            <w:tcMar>
              <w:top w:w="80" w:type="dxa"/>
              <w:bottom w:w="80" w:type="dxa"/>
              <w:left w:w="100" w:type="dxa"/>
              <w:right w:w="100" w:type="dxa"/>
            </w:tcMar>
          </w:tcPr>
          <w:p>
            <w:r>
              <w:rPr>
                <w:color w:val="475569"/>
                <w:sz w:val="17"/>
              </w:rPr>
              <w:t>High-performance SPA with client-side routing, live state sync, bilingual UI, and accessibility engine.</w:t>
            </w:r>
          </w:p>
        </w:tc>
      </w:tr>
      <w:tr>
        <w:tc>
          <w:tcPr>
            <w:tcW w:type="dxa" w:w="2484"/>
            <w:shd w:fill="FFFFFF"/>
            <w:tcMar>
              <w:top w:w="80" w:type="dxa"/>
              <w:bottom w:w="80" w:type="dxa"/>
              <w:left w:w="100" w:type="dxa"/>
              <w:right w:w="100" w:type="dxa"/>
            </w:tcMar>
          </w:tcPr>
          <w:p>
            <w:r>
              <w:rPr>
                <w:b/>
                <w:color w:val="071426"/>
                <w:sz w:val="17"/>
              </w:rPr>
              <w:t>Design System</w:t>
            </w:r>
          </w:p>
        </w:tc>
        <w:tc>
          <w:tcPr>
            <w:tcW w:type="dxa" w:w="2484"/>
            <w:shd w:fill="FFFFFF"/>
            <w:tcMar>
              <w:top w:w="80" w:type="dxa"/>
              <w:bottom w:w="80" w:type="dxa"/>
              <w:left w:w="100" w:type="dxa"/>
              <w:right w:w="100" w:type="dxa"/>
            </w:tcMar>
          </w:tcPr>
          <w:p>
            <w:r>
              <w:rPr>
                <w:color w:val="475569"/>
                <w:sz w:val="17"/>
              </w:rPr>
              <w:t>Custom Vanilla CSS</w:t>
            </w:r>
          </w:p>
        </w:tc>
        <w:tc>
          <w:tcPr>
            <w:tcW w:type="dxa" w:w="2484"/>
            <w:shd w:fill="FFFFFF"/>
            <w:tcMar>
              <w:top w:w="80" w:type="dxa"/>
              <w:bottom w:w="80" w:type="dxa"/>
              <w:left w:w="100" w:type="dxa"/>
              <w:right w:w="100" w:type="dxa"/>
            </w:tcMar>
          </w:tcPr>
          <w:p>
            <w:r>
              <w:rPr>
                <w:color w:val="475569"/>
                <w:sz w:val="17"/>
              </w:rPr>
              <w:t>CSS3 Custom Tokens</w:t>
            </w:r>
          </w:p>
        </w:tc>
        <w:tc>
          <w:tcPr>
            <w:tcW w:type="dxa" w:w="2484"/>
            <w:shd w:fill="FFFFFF"/>
            <w:tcMar>
              <w:top w:w="80" w:type="dxa"/>
              <w:bottom w:w="80" w:type="dxa"/>
              <w:left w:w="100" w:type="dxa"/>
              <w:right w:w="100" w:type="dxa"/>
            </w:tcMar>
          </w:tcPr>
          <w:p>
            <w:r>
              <w:rPr>
                <w:color w:val="475569"/>
                <w:sz w:val="17"/>
              </w:rPr>
              <w:t>Bespoke Govt-of-India aesthetic (Saffron/Navy/Emerald) with zero framework bloat and instant load times.</w:t>
            </w:r>
          </w:p>
        </w:tc>
      </w:tr>
      <w:tr>
        <w:tc>
          <w:tcPr>
            <w:tcW w:type="dxa" w:w="2484"/>
            <w:shd w:fill="F8FAFC"/>
            <w:tcMar>
              <w:top w:w="80" w:type="dxa"/>
              <w:bottom w:w="80" w:type="dxa"/>
              <w:left w:w="100" w:type="dxa"/>
              <w:right w:w="100" w:type="dxa"/>
            </w:tcMar>
          </w:tcPr>
          <w:p>
            <w:r>
              <w:rPr>
                <w:b/>
                <w:color w:val="071426"/>
                <w:sz w:val="17"/>
              </w:rPr>
              <w:t>GIS Spatial Engine</w:t>
            </w:r>
          </w:p>
        </w:tc>
        <w:tc>
          <w:tcPr>
            <w:tcW w:type="dxa" w:w="2484"/>
            <w:shd w:fill="F8FAFC"/>
            <w:tcMar>
              <w:top w:w="80" w:type="dxa"/>
              <w:bottom w:w="80" w:type="dxa"/>
              <w:left w:w="100" w:type="dxa"/>
              <w:right w:w="100" w:type="dxa"/>
            </w:tcMar>
          </w:tcPr>
          <w:p>
            <w:r>
              <w:rPr>
                <w:color w:val="475569"/>
                <w:sz w:val="17"/>
              </w:rPr>
              <w:t>Leaflet.js + React-Leaflet</w:t>
            </w:r>
          </w:p>
        </w:tc>
        <w:tc>
          <w:tcPr>
            <w:tcW w:type="dxa" w:w="2484"/>
            <w:shd w:fill="F8FAFC"/>
            <w:tcMar>
              <w:top w:w="80" w:type="dxa"/>
              <w:bottom w:w="80" w:type="dxa"/>
              <w:left w:w="100" w:type="dxa"/>
              <w:right w:w="100" w:type="dxa"/>
            </w:tcMar>
          </w:tcPr>
          <w:p>
            <w:r>
              <w:rPr>
                <w:color w:val="475569"/>
                <w:sz w:val="17"/>
              </w:rPr>
              <w:t>v1.9.4</w:t>
            </w:r>
          </w:p>
        </w:tc>
        <w:tc>
          <w:tcPr>
            <w:tcW w:type="dxa" w:w="2484"/>
            <w:shd w:fill="F8FAFC"/>
            <w:tcMar>
              <w:top w:w="80" w:type="dxa"/>
              <w:bottom w:w="80" w:type="dxa"/>
              <w:left w:w="100" w:type="dxa"/>
              <w:right w:w="100" w:type="dxa"/>
            </w:tcMar>
          </w:tcPr>
          <w:p>
            <w:r>
              <w:rPr>
                <w:color w:val="475569"/>
                <w:sz w:val="17"/>
              </w:rPr>
              <w:t>Vector polyline corridor alignment overlays, village cadastral survey polygons, color-coded encumbrance locks, and full-screen view.</w:t>
            </w:r>
          </w:p>
        </w:tc>
      </w:tr>
      <w:tr>
        <w:tc>
          <w:tcPr>
            <w:tcW w:type="dxa" w:w="2484"/>
            <w:shd w:fill="FFFFFF"/>
            <w:tcMar>
              <w:top w:w="80" w:type="dxa"/>
              <w:bottom w:w="80" w:type="dxa"/>
              <w:left w:w="100" w:type="dxa"/>
              <w:right w:w="100" w:type="dxa"/>
            </w:tcMar>
          </w:tcPr>
          <w:p>
            <w:r>
              <w:rPr>
                <w:b/>
                <w:color w:val="071426"/>
                <w:sz w:val="17"/>
              </w:rPr>
              <w:t>Backend REST API</w:t>
            </w:r>
          </w:p>
        </w:tc>
        <w:tc>
          <w:tcPr>
            <w:tcW w:type="dxa" w:w="2484"/>
            <w:shd w:fill="FFFFFF"/>
            <w:tcMar>
              <w:top w:w="80" w:type="dxa"/>
              <w:bottom w:w="80" w:type="dxa"/>
              <w:left w:w="100" w:type="dxa"/>
              <w:right w:w="100" w:type="dxa"/>
            </w:tcMar>
          </w:tcPr>
          <w:p>
            <w:r>
              <w:rPr>
                <w:color w:val="475569"/>
                <w:sz w:val="17"/>
              </w:rPr>
              <w:t>Node.js + Express.js</w:t>
            </w:r>
          </w:p>
        </w:tc>
        <w:tc>
          <w:tcPr>
            <w:tcW w:type="dxa" w:w="2484"/>
            <w:shd w:fill="FFFFFF"/>
            <w:tcMar>
              <w:top w:w="80" w:type="dxa"/>
              <w:bottom w:w="80" w:type="dxa"/>
              <w:left w:w="100" w:type="dxa"/>
              <w:right w:w="100" w:type="dxa"/>
            </w:tcMar>
          </w:tcPr>
          <w:p>
            <w:r>
              <w:rPr>
                <w:color w:val="475569"/>
                <w:sz w:val="17"/>
              </w:rPr>
              <w:t>Node v24 / Express v4.19</w:t>
            </w:r>
          </w:p>
        </w:tc>
        <w:tc>
          <w:tcPr>
            <w:tcW w:type="dxa" w:w="2484"/>
            <w:shd w:fill="FFFFFF"/>
            <w:tcMar>
              <w:top w:w="80" w:type="dxa"/>
              <w:bottom w:w="80" w:type="dxa"/>
              <w:left w:w="100" w:type="dxa"/>
              <w:right w:w="100" w:type="dxa"/>
            </w:tcMar>
          </w:tcPr>
          <w:p>
            <w:r>
              <w:rPr>
                <w:color w:val="475569"/>
                <w:sz w:val="17"/>
              </w:rPr>
              <w:t>High-concurrency RESTful microservices, RBAC middleware, statutory valuation mathematical calculations, and delay forecasting engines.</w:t>
            </w:r>
          </w:p>
        </w:tc>
      </w:tr>
      <w:tr>
        <w:tc>
          <w:tcPr>
            <w:tcW w:type="dxa" w:w="2484"/>
            <w:shd w:fill="F8FAFC"/>
            <w:tcMar>
              <w:top w:w="80" w:type="dxa"/>
              <w:bottom w:w="80" w:type="dxa"/>
              <w:left w:w="100" w:type="dxa"/>
              <w:right w:w="100" w:type="dxa"/>
            </w:tcMar>
          </w:tcPr>
          <w:p>
            <w:r>
              <w:rPr>
                <w:b/>
                <w:color w:val="071426"/>
                <w:sz w:val="17"/>
              </w:rPr>
              <w:t>Relational Database</w:t>
            </w:r>
          </w:p>
        </w:tc>
        <w:tc>
          <w:tcPr>
            <w:tcW w:type="dxa" w:w="2484"/>
            <w:shd w:fill="F8FAFC"/>
            <w:tcMar>
              <w:top w:w="80" w:type="dxa"/>
              <w:bottom w:w="80" w:type="dxa"/>
              <w:left w:w="100" w:type="dxa"/>
              <w:right w:w="100" w:type="dxa"/>
            </w:tcMar>
          </w:tcPr>
          <w:p>
            <w:r>
              <w:rPr>
                <w:color w:val="475569"/>
                <w:sz w:val="17"/>
              </w:rPr>
              <w:t>SQLite (better-sqlite3)</w:t>
            </w:r>
          </w:p>
        </w:tc>
        <w:tc>
          <w:tcPr>
            <w:tcW w:type="dxa" w:w="2484"/>
            <w:shd w:fill="F8FAFC"/>
            <w:tcMar>
              <w:top w:w="80" w:type="dxa"/>
              <w:bottom w:w="80" w:type="dxa"/>
              <w:left w:w="100" w:type="dxa"/>
              <w:right w:w="100" w:type="dxa"/>
            </w:tcMar>
          </w:tcPr>
          <w:p>
            <w:r>
              <w:rPr>
                <w:color w:val="475569"/>
                <w:sz w:val="17"/>
              </w:rPr>
              <w:t>v11.8 (ACID Compliant)</w:t>
            </w:r>
          </w:p>
        </w:tc>
        <w:tc>
          <w:tcPr>
            <w:tcW w:type="dxa" w:w="2484"/>
            <w:shd w:fill="F8FAFC"/>
            <w:tcMar>
              <w:top w:w="80" w:type="dxa"/>
              <w:bottom w:w="80" w:type="dxa"/>
              <w:left w:w="100" w:type="dxa"/>
              <w:right w:w="100" w:type="dxa"/>
            </w:tcMar>
          </w:tcPr>
          <w:p>
            <w:r>
              <w:rPr>
                <w:color w:val="475569"/>
                <w:sz w:val="17"/>
              </w:rPr>
              <w:t>Zero-latency transactional persistence for projects, parcels, objections, R&amp;R families, and tribunal dockets.</w:t>
            </w:r>
          </w:p>
        </w:tc>
      </w:tr>
      <w:tr>
        <w:tc>
          <w:tcPr>
            <w:tcW w:type="dxa" w:w="2484"/>
            <w:shd w:fill="FFFFFF"/>
            <w:tcMar>
              <w:top w:w="80" w:type="dxa"/>
              <w:bottom w:w="80" w:type="dxa"/>
              <w:left w:w="100" w:type="dxa"/>
              <w:right w:w="100" w:type="dxa"/>
            </w:tcMar>
          </w:tcPr>
          <w:p>
            <w:r>
              <w:rPr>
                <w:b/>
                <w:color w:val="071426"/>
                <w:sz w:val="17"/>
              </w:rPr>
              <w:t>Mobile Field App</w:t>
            </w:r>
          </w:p>
        </w:tc>
        <w:tc>
          <w:tcPr>
            <w:tcW w:type="dxa" w:w="2484"/>
            <w:shd w:fill="FFFFFF"/>
            <w:tcMar>
              <w:top w:w="80" w:type="dxa"/>
              <w:bottom w:w="80" w:type="dxa"/>
              <w:left w:w="100" w:type="dxa"/>
              <w:right w:w="100" w:type="dxa"/>
            </w:tcMar>
          </w:tcPr>
          <w:p>
            <w:r>
              <w:rPr>
                <w:color w:val="475569"/>
                <w:sz w:val="17"/>
              </w:rPr>
              <w:t>Flutter (Dart)</w:t>
            </w:r>
          </w:p>
        </w:tc>
        <w:tc>
          <w:tcPr>
            <w:tcW w:type="dxa" w:w="2484"/>
            <w:shd w:fill="FFFFFF"/>
            <w:tcMar>
              <w:top w:w="80" w:type="dxa"/>
              <w:bottom w:w="80" w:type="dxa"/>
              <w:left w:w="100" w:type="dxa"/>
              <w:right w:w="100" w:type="dxa"/>
            </w:tcMar>
          </w:tcPr>
          <w:p>
            <w:r>
              <w:rPr>
                <w:color w:val="475569"/>
                <w:sz w:val="17"/>
              </w:rPr>
              <w:t>Flutter 3.x / Dart 3.x</w:t>
            </w:r>
          </w:p>
        </w:tc>
        <w:tc>
          <w:tcPr>
            <w:tcW w:type="dxa" w:w="2484"/>
            <w:shd w:fill="FFFFFF"/>
            <w:tcMar>
              <w:top w:w="80" w:type="dxa"/>
              <w:bottom w:w="80" w:type="dxa"/>
              <w:left w:w="100" w:type="dxa"/>
              <w:right w:w="100" w:type="dxa"/>
            </w:tcMar>
          </w:tcPr>
          <w:p>
            <w:r>
              <w:rPr>
                <w:color w:val="475569"/>
                <w:sz w:val="17"/>
              </w:rPr>
              <w:t>Offline-first mobile survey tool with GPS geo-tagging, camera asset documentation, and automatic cloud sync.</w:t>
            </w:r>
          </w:p>
        </w:tc>
      </w:tr>
      <w:tr>
        <w:tc>
          <w:tcPr>
            <w:tcW w:type="dxa" w:w="2484"/>
            <w:shd w:fill="F8FAFC"/>
            <w:tcMar>
              <w:top w:w="80" w:type="dxa"/>
              <w:bottom w:w="80" w:type="dxa"/>
              <w:left w:w="100" w:type="dxa"/>
              <w:right w:w="100" w:type="dxa"/>
            </w:tcMar>
          </w:tcPr>
          <w:p>
            <w:r>
              <w:rPr>
                <w:b/>
                <w:color w:val="071426"/>
                <w:sz w:val="17"/>
              </w:rPr>
              <w:t>Cloud Frontend Host</w:t>
            </w:r>
          </w:p>
        </w:tc>
        <w:tc>
          <w:tcPr>
            <w:tcW w:type="dxa" w:w="2484"/>
            <w:shd w:fill="F8FAFC"/>
            <w:tcMar>
              <w:top w:w="80" w:type="dxa"/>
              <w:bottom w:w="80" w:type="dxa"/>
              <w:left w:w="100" w:type="dxa"/>
              <w:right w:w="100" w:type="dxa"/>
            </w:tcMar>
          </w:tcPr>
          <w:p>
            <w:r>
              <w:rPr>
                <w:color w:val="475569"/>
                <w:sz w:val="17"/>
              </w:rPr>
              <w:t>Firebase Hosting</w:t>
            </w:r>
          </w:p>
        </w:tc>
        <w:tc>
          <w:tcPr>
            <w:tcW w:type="dxa" w:w="2484"/>
            <w:shd w:fill="F8FAFC"/>
            <w:tcMar>
              <w:top w:w="80" w:type="dxa"/>
              <w:bottom w:w="80" w:type="dxa"/>
              <w:left w:w="100" w:type="dxa"/>
              <w:right w:w="100" w:type="dxa"/>
            </w:tcMar>
          </w:tcPr>
          <w:p>
            <w:r>
              <w:rPr>
                <w:color w:val="475569"/>
                <w:sz w:val="17"/>
              </w:rPr>
              <w:t>Google Global Edge CDN</w:t>
            </w:r>
          </w:p>
        </w:tc>
        <w:tc>
          <w:tcPr>
            <w:tcW w:type="dxa" w:w="2484"/>
            <w:shd w:fill="F8FAFC"/>
            <w:tcMar>
              <w:top w:w="80" w:type="dxa"/>
              <w:bottom w:w="80" w:type="dxa"/>
              <w:left w:w="100" w:type="dxa"/>
              <w:right w:w="100" w:type="dxa"/>
            </w:tcMar>
          </w:tcPr>
          <w:p>
            <w:r>
              <w:rPr>
                <w:color w:val="475569"/>
                <w:sz w:val="17"/>
              </w:rPr>
              <w:t>High-availability static CDN with HTTP/2, instant cache invalidation, and custom domain SSL.</w:t>
            </w:r>
          </w:p>
        </w:tc>
      </w:tr>
      <w:tr>
        <w:tc>
          <w:tcPr>
            <w:tcW w:type="dxa" w:w="2484"/>
            <w:shd w:fill="FFFFFF"/>
            <w:tcMar>
              <w:top w:w="80" w:type="dxa"/>
              <w:bottom w:w="80" w:type="dxa"/>
              <w:left w:w="100" w:type="dxa"/>
              <w:right w:w="100" w:type="dxa"/>
            </w:tcMar>
          </w:tcPr>
          <w:p>
            <w:r>
              <w:rPr>
                <w:b/>
                <w:color w:val="071426"/>
                <w:sz w:val="17"/>
              </w:rPr>
              <w:t>Cloud Backend Host</w:t>
            </w:r>
          </w:p>
        </w:tc>
        <w:tc>
          <w:tcPr>
            <w:tcW w:type="dxa" w:w="2484"/>
            <w:shd w:fill="FFFFFF"/>
            <w:tcMar>
              <w:top w:w="80" w:type="dxa"/>
              <w:bottom w:w="80" w:type="dxa"/>
              <w:left w:w="100" w:type="dxa"/>
              <w:right w:w="100" w:type="dxa"/>
            </w:tcMar>
          </w:tcPr>
          <w:p>
            <w:r>
              <w:rPr>
                <w:color w:val="475569"/>
                <w:sz w:val="17"/>
              </w:rPr>
              <w:t>Render.com Web Services</w:t>
            </w:r>
          </w:p>
        </w:tc>
        <w:tc>
          <w:tcPr>
            <w:tcW w:type="dxa" w:w="2484"/>
            <w:shd w:fill="FFFFFF"/>
            <w:tcMar>
              <w:top w:w="80" w:type="dxa"/>
              <w:bottom w:w="80" w:type="dxa"/>
              <w:left w:w="100" w:type="dxa"/>
              <w:right w:w="100" w:type="dxa"/>
            </w:tcMar>
          </w:tcPr>
          <w:p>
            <w:r>
              <w:rPr>
                <w:color w:val="475569"/>
                <w:sz w:val="17"/>
              </w:rPr>
              <w:t>Docker Container / Linux</w:t>
            </w:r>
          </w:p>
        </w:tc>
        <w:tc>
          <w:tcPr>
            <w:tcW w:type="dxa" w:w="2484"/>
            <w:shd w:fill="FFFFFF"/>
            <w:tcMar>
              <w:top w:w="80" w:type="dxa"/>
              <w:bottom w:w="80" w:type="dxa"/>
              <w:left w:w="100" w:type="dxa"/>
              <w:right w:w="100" w:type="dxa"/>
            </w:tcMar>
          </w:tcPr>
          <w:p>
            <w:r>
              <w:rPr>
                <w:color w:val="475569"/>
                <w:sz w:val="17"/>
              </w:rPr>
              <w:t>Automated GitHub CI/CD web service with 0.0.0.0 port binding, reverse proxy routing, and REST endpoint exposure.</w:t>
            </w:r>
          </w:p>
        </w:tc>
      </w:tr>
    </w:tbl>
    <w:p>
      <w:pPr>
        <w:spacing w:after="280"/>
      </w:pPr>
    </w:p>
    <w:p>
      <w:pPr>
        <w:spacing w:before="320" w:after="120"/>
      </w:pPr>
      <w:r>
        <w:rPr>
          <w:rFonts w:ascii="Arial" w:hAnsi="Arial"/>
          <w:b/>
          <w:color w:val="071426"/>
          <w:sz w:val="28"/>
        </w:rPr>
        <w:t>2. STATUTORY MATHEMATICAL FORMULAS &amp; ALGORITHMS (RFCTLARR ACT, 2013)</w:t>
      </w:r>
    </w:p>
    <w:p>
      <w:r>
        <w:rPr>
          <w:sz w:val="19"/>
        </w:rPr>
        <w:t>NLAMS implements the legally audited mathematical valuation framework defined under Sections 26 through 30 and the First Schedule of the RFCTLARR Act, 2013, as well as Section 3G of the National Highways Act, 1956:</w:t>
        <w:br/>
      </w:r>
    </w:p>
    <w:p>
      <w:pPr>
        <w:pStyle w:val="ListBullet"/>
        <w:spacing w:after="80"/>
      </w:pPr>
      <w:r>
        <w:rPr>
          <w:b/>
          <w:color w:val="EA580C"/>
          <w:sz w:val="18"/>
        </w:rPr>
        <w:t xml:space="preserve">Step 1: Baseline Market Value Determination (Sec 26): </w:t>
      </w:r>
      <w:r>
        <w:rPr>
          <w:color w:val="071426"/>
          <w:sz w:val="18"/>
        </w:rPr>
        <w:t>Market Value (MV) = max(Circle Rate, Avg 3-Year Registered Sale Deeds for top 50% transactions).</w:t>
      </w:r>
    </w:p>
    <w:p>
      <w:pPr>
        <w:pStyle w:val="ListBullet"/>
        <w:spacing w:after="80"/>
      </w:pPr>
      <w:r>
        <w:rPr>
          <w:b/>
          <w:color w:val="EA580C"/>
          <w:sz w:val="18"/>
        </w:rPr>
        <w:t xml:space="preserve">Step 2: Rural Multiplication Factor (Sec 26(2)): </w:t>
      </w:r>
      <w:r>
        <w:rPr>
          <w:color w:val="071426"/>
          <w:sz w:val="18"/>
        </w:rPr>
        <w:t>Multiplied Base Land Value = MV × Factor F (where F = 1.00 for Urban, 1.15 to 2.00 scaled by radial distance from urban boundary).</w:t>
      </w:r>
    </w:p>
    <w:p>
      <w:pPr>
        <w:pStyle w:val="ListBullet"/>
        <w:spacing w:after="80"/>
      </w:pPr>
      <w:r>
        <w:rPr>
          <w:b/>
          <w:color w:val="EA580C"/>
          <w:sz w:val="18"/>
        </w:rPr>
        <w:t xml:space="preserve">Step 3: On-Ground Field Asset Appraisals (Sec 29): </w:t>
      </w:r>
      <w:r>
        <w:rPr>
          <w:color w:val="071426"/>
          <w:sz w:val="18"/>
        </w:rPr>
        <w:t>Total Assets (A) = Valuation of Buildings/Structures (PWD Plinth Norms) + Timber/Horticulture Trees (Forest Dept) + Standing Crops (Agri Dept).</w:t>
      </w:r>
    </w:p>
    <w:p>
      <w:pPr>
        <w:pStyle w:val="ListBullet"/>
        <w:spacing w:after="80"/>
      </w:pPr>
      <w:r>
        <w:rPr>
          <w:b/>
          <w:color w:val="EA580C"/>
          <w:sz w:val="18"/>
        </w:rPr>
        <w:t xml:space="preserve">Step 4: Mandatory 100% Solatium (Sec 30(1)): </w:t>
      </w:r>
      <w:r>
        <w:rPr>
          <w:color w:val="071426"/>
          <w:sz w:val="18"/>
        </w:rPr>
        <w:t>Solatium Amount = 100% × (Multiplied Base Land Value + Total Assets).</w:t>
      </w:r>
    </w:p>
    <w:p>
      <w:pPr>
        <w:pStyle w:val="ListBullet"/>
        <w:spacing w:after="80"/>
      </w:pPr>
      <w:r>
        <w:rPr>
          <w:b/>
          <w:color w:val="EA580C"/>
          <w:sz w:val="18"/>
        </w:rPr>
        <w:t xml:space="preserve">Step 5: 12% Additional Amount (Sec 30(3)): </w:t>
      </w:r>
      <w:r>
        <w:rPr>
          <w:color w:val="071426"/>
          <w:sz w:val="18"/>
        </w:rPr>
        <w:t>Additional Interest = 12% per annum on Market Value from the date of Section 11 Notification to Award declaration date.</w:t>
      </w:r>
    </w:p>
    <w:p>
      <w:pPr>
        <w:pStyle w:val="ListBullet"/>
        <w:spacing w:after="80"/>
      </w:pPr>
      <w:r>
        <w:rPr>
          <w:b/>
          <w:color w:val="EA580C"/>
          <w:sz w:val="18"/>
        </w:rPr>
        <w:t xml:space="preserve">Step 6: Final Statutory Gross Award: </w:t>
      </w:r>
      <w:r>
        <w:rPr>
          <w:color w:val="071426"/>
          <w:sz w:val="18"/>
        </w:rPr>
        <w:t>Total Award = (Multiplied Base Land Value + Total Assets) × 2.00 + Additional Interest Amount.</w:t>
      </w:r>
    </w:p>
    <w:p>
      <w:pPr>
        <w:spacing w:after="280"/>
      </w:pPr>
    </w:p>
    <w:p>
      <w:pPr>
        <w:spacing w:before="320" w:after="120"/>
      </w:pPr>
      <w:r>
        <w:rPr>
          <w:rFonts w:ascii="Arial" w:hAnsi="Arial"/>
          <w:b/>
          <w:color w:val="071426"/>
          <w:sz w:val="28"/>
        </w:rPr>
        <w:t>3. RELATIONAL DATABASE SCHEMA &amp; ENTITY ARCHITECTURE</w:t>
      </w:r>
    </w:p>
    <w:tbl>
      <w:tblPr>
        <w:tblW w:type="auto" w:w="0"/>
        <w:jc w:val="center"/>
        <w:tblLook w:firstColumn="1" w:firstRow="1" w:lastColumn="0" w:lastRow="0" w:noHBand="0" w:noVBand="1" w:val="04A0"/>
      </w:tblPr>
      <w:tblGrid>
        <w:gridCol w:w="2484"/>
        <w:gridCol w:w="2484"/>
        <w:gridCol w:w="2484"/>
        <w:gridCol w:w="2484"/>
      </w:tblGrid>
      <w:tr>
        <w:tc>
          <w:tcPr>
            <w:tcW w:type="dxa" w:w="2484"/>
            <w:shd w:fill="071426"/>
            <w:tcMar>
              <w:top w:w="100" w:type="dxa"/>
              <w:bottom w:w="100" w:type="dxa"/>
              <w:left w:w="120" w:type="dxa"/>
              <w:right w:w="120" w:type="dxa"/>
            </w:tcMar>
          </w:tcPr>
          <w:p>
            <w:r>
              <w:rPr>
                <w:b/>
                <w:color w:val="FFFFFF"/>
                <w:sz w:val="18"/>
              </w:rPr>
              <w:t>Table Name</w:t>
            </w:r>
          </w:p>
        </w:tc>
        <w:tc>
          <w:tcPr>
            <w:tcW w:type="dxa" w:w="2484"/>
            <w:shd w:fill="071426"/>
            <w:tcMar>
              <w:top w:w="100" w:type="dxa"/>
              <w:bottom w:w="100" w:type="dxa"/>
              <w:left w:w="120" w:type="dxa"/>
              <w:right w:w="120" w:type="dxa"/>
            </w:tcMar>
          </w:tcPr>
          <w:p>
            <w:r>
              <w:rPr>
                <w:b/>
                <w:color w:val="FFFFFF"/>
                <w:sz w:val="18"/>
              </w:rPr>
              <w:t>Primary Key</w:t>
            </w:r>
          </w:p>
        </w:tc>
        <w:tc>
          <w:tcPr>
            <w:tcW w:type="dxa" w:w="2484"/>
            <w:shd w:fill="071426"/>
            <w:tcMar>
              <w:top w:w="100" w:type="dxa"/>
              <w:bottom w:w="100" w:type="dxa"/>
              <w:left w:w="120" w:type="dxa"/>
              <w:right w:w="120" w:type="dxa"/>
            </w:tcMar>
          </w:tcPr>
          <w:p>
            <w:r>
              <w:rPr>
                <w:b/>
                <w:color w:val="FFFFFF"/>
                <w:sz w:val="18"/>
              </w:rPr>
              <w:t>Key Attributes / Foreign Keys</w:t>
            </w:r>
          </w:p>
        </w:tc>
        <w:tc>
          <w:tcPr>
            <w:tcW w:type="dxa" w:w="2484"/>
            <w:shd w:fill="071426"/>
            <w:tcMar>
              <w:top w:w="100" w:type="dxa"/>
              <w:bottom w:w="100" w:type="dxa"/>
              <w:left w:w="120" w:type="dxa"/>
              <w:right w:w="120" w:type="dxa"/>
            </w:tcMar>
          </w:tcPr>
          <w:p>
            <w:r>
              <w:rPr>
                <w:b/>
                <w:color w:val="FFFFFF"/>
                <w:sz w:val="18"/>
              </w:rPr>
              <w:t>Domain Function &amp; Purpose</w:t>
            </w:r>
          </w:p>
        </w:tc>
      </w:tr>
      <w:tr>
        <w:tc>
          <w:tcPr>
            <w:tcW w:type="dxa" w:w="2484"/>
            <w:shd w:fill="F8FAFC"/>
            <w:tcMar>
              <w:top w:w="80" w:type="dxa"/>
              <w:bottom w:w="80" w:type="dxa"/>
              <w:left w:w="100" w:type="dxa"/>
              <w:right w:w="100" w:type="dxa"/>
            </w:tcMar>
          </w:tcPr>
          <w:p>
            <w:r>
              <w:rPr>
                <w:b/>
                <w:color w:val="071426"/>
                <w:sz w:val="17"/>
              </w:rPr>
              <w:t>projects</w:t>
            </w:r>
          </w:p>
        </w:tc>
        <w:tc>
          <w:tcPr>
            <w:tcW w:type="dxa" w:w="2484"/>
            <w:shd w:fill="F8FAFC"/>
            <w:tcMar>
              <w:top w:w="80" w:type="dxa"/>
              <w:bottom w:w="80" w:type="dxa"/>
              <w:left w:w="100" w:type="dxa"/>
              <w:right w:w="100" w:type="dxa"/>
            </w:tcMar>
          </w:tcPr>
          <w:p>
            <w:r>
              <w:rPr>
                <w:color w:val="475569"/>
                <w:sz w:val="17"/>
              </w:rPr>
              <w:t>id (VARCHAR)</w:t>
            </w:r>
          </w:p>
        </w:tc>
        <w:tc>
          <w:tcPr>
            <w:tcW w:type="dxa" w:w="2484"/>
            <w:shd w:fill="F8FAFC"/>
            <w:tcMar>
              <w:top w:w="80" w:type="dxa"/>
              <w:bottom w:w="80" w:type="dxa"/>
              <w:left w:w="100" w:type="dxa"/>
              <w:right w:w="100" w:type="dxa"/>
            </w:tcMar>
          </w:tcPr>
          <w:p>
            <w:r>
              <w:rPr>
                <w:color w:val="475569"/>
                <w:sz w:val="17"/>
              </w:rPr>
              <w:t>title, agency, state, length_km, area_ha, stage, progress_pct, dbt_cr, alignment_coords (JSON)</w:t>
            </w:r>
          </w:p>
        </w:tc>
        <w:tc>
          <w:tcPr>
            <w:tcW w:type="dxa" w:w="2484"/>
            <w:shd w:fill="F8FAFC"/>
            <w:tcMar>
              <w:top w:w="80" w:type="dxa"/>
              <w:bottom w:w="80" w:type="dxa"/>
              <w:left w:w="100" w:type="dxa"/>
              <w:right w:w="100" w:type="dxa"/>
            </w:tcMar>
          </w:tcPr>
          <w:p>
            <w:r>
              <w:rPr>
                <w:color w:val="475569"/>
                <w:sz w:val="17"/>
              </w:rPr>
              <w:t>Linear corridor master records tracking total acreage, notified dates, and geospatial vectors.</w:t>
            </w:r>
          </w:p>
        </w:tc>
      </w:tr>
      <w:tr>
        <w:tc>
          <w:tcPr>
            <w:tcW w:type="dxa" w:w="2484"/>
            <w:shd w:fill="FFFFFF"/>
            <w:tcMar>
              <w:top w:w="80" w:type="dxa"/>
              <w:bottom w:w="80" w:type="dxa"/>
              <w:left w:w="100" w:type="dxa"/>
              <w:right w:w="100" w:type="dxa"/>
            </w:tcMar>
          </w:tcPr>
          <w:p>
            <w:r>
              <w:rPr>
                <w:b/>
                <w:color w:val="071426"/>
                <w:sz w:val="17"/>
              </w:rPr>
              <w:t>parcels</w:t>
            </w:r>
          </w:p>
        </w:tc>
        <w:tc>
          <w:tcPr>
            <w:tcW w:type="dxa" w:w="2484"/>
            <w:shd w:fill="FFFFFF"/>
            <w:tcMar>
              <w:top w:w="80" w:type="dxa"/>
              <w:bottom w:w="80" w:type="dxa"/>
              <w:left w:w="100" w:type="dxa"/>
              <w:right w:w="100" w:type="dxa"/>
            </w:tcMar>
          </w:tcPr>
          <w:p>
            <w:r>
              <w:rPr>
                <w:color w:val="475569"/>
                <w:sz w:val="17"/>
              </w:rPr>
              <w:t>ulpin (CHAR 14)</w:t>
            </w:r>
          </w:p>
        </w:tc>
        <w:tc>
          <w:tcPr>
            <w:tcW w:type="dxa" w:w="2484"/>
            <w:shd w:fill="FFFFFF"/>
            <w:tcMar>
              <w:top w:w="80" w:type="dxa"/>
              <w:bottom w:w="80" w:type="dxa"/>
              <w:left w:w="100" w:type="dxa"/>
              <w:right w:w="100" w:type="dxa"/>
            </w:tcMar>
          </w:tcPr>
          <w:p>
            <w:r>
              <w:rPr>
                <w:color w:val="475569"/>
                <w:sz w:val="17"/>
              </w:rPr>
              <w:t>project_id (FK), record_no, owner_name, aadhaar_masked, circle_rate, encumbrance_locked, status, polygon (JSON)</w:t>
            </w:r>
          </w:p>
        </w:tc>
        <w:tc>
          <w:tcPr>
            <w:tcW w:type="dxa" w:w="2484"/>
            <w:shd w:fill="FFFFFF"/>
            <w:tcMar>
              <w:top w:w="80" w:type="dxa"/>
              <w:bottom w:w="80" w:type="dxa"/>
              <w:left w:w="100" w:type="dxa"/>
              <w:right w:w="100" w:type="dxa"/>
            </w:tcMar>
          </w:tcPr>
          <w:p>
            <w:r>
              <w:rPr>
                <w:color w:val="475569"/>
                <w:sz w:val="17"/>
              </w:rPr>
              <w:t>Cadastral land parcels linked via 14-digit Bhu-Aadhaar with automated encumbrance locking.</w:t>
            </w:r>
          </w:p>
        </w:tc>
      </w:tr>
      <w:tr>
        <w:tc>
          <w:tcPr>
            <w:tcW w:type="dxa" w:w="2484"/>
            <w:shd w:fill="F8FAFC"/>
            <w:tcMar>
              <w:top w:w="80" w:type="dxa"/>
              <w:bottom w:w="80" w:type="dxa"/>
              <w:left w:w="100" w:type="dxa"/>
              <w:right w:w="100" w:type="dxa"/>
            </w:tcMar>
          </w:tcPr>
          <w:p>
            <w:r>
              <w:rPr>
                <w:b/>
                <w:color w:val="071426"/>
                <w:sz w:val="17"/>
              </w:rPr>
              <w:t>objections</w:t>
            </w:r>
          </w:p>
        </w:tc>
        <w:tc>
          <w:tcPr>
            <w:tcW w:type="dxa" w:w="2484"/>
            <w:shd w:fill="F8FAFC"/>
            <w:tcMar>
              <w:top w:w="80" w:type="dxa"/>
              <w:bottom w:w="80" w:type="dxa"/>
              <w:left w:w="100" w:type="dxa"/>
              <w:right w:w="100" w:type="dxa"/>
            </w:tcMar>
          </w:tcPr>
          <w:p>
            <w:r>
              <w:rPr>
                <w:color w:val="475569"/>
                <w:sz w:val="17"/>
              </w:rPr>
              <w:t>id (VARCHAR)</w:t>
            </w:r>
          </w:p>
        </w:tc>
        <w:tc>
          <w:tcPr>
            <w:tcW w:type="dxa" w:w="2484"/>
            <w:shd w:fill="F8FAFC"/>
            <w:tcMar>
              <w:top w:w="80" w:type="dxa"/>
              <w:bottom w:w="80" w:type="dxa"/>
              <w:left w:w="100" w:type="dxa"/>
              <w:right w:w="100" w:type="dxa"/>
            </w:tcMar>
          </w:tcPr>
          <w:p>
            <w:r>
              <w:rPr>
                <w:color w:val="475569"/>
                <w:sz w:val="17"/>
              </w:rPr>
              <w:t>project_id (FK), ulpin (FK), ground_type, hearing_date, status, reasoned_order_summary</w:t>
            </w:r>
          </w:p>
        </w:tc>
        <w:tc>
          <w:tcPr>
            <w:tcW w:type="dxa" w:w="2484"/>
            <w:shd w:fill="F8FAFC"/>
            <w:tcMar>
              <w:top w:w="80" w:type="dxa"/>
              <w:bottom w:w="80" w:type="dxa"/>
              <w:left w:w="100" w:type="dxa"/>
              <w:right w:w="100" w:type="dxa"/>
            </w:tcMar>
          </w:tcPr>
          <w:p>
            <w:r>
              <w:rPr>
                <w:color w:val="475569"/>
                <w:sz w:val="17"/>
              </w:rPr>
              <w:t>Section 15 quasi-judicial inquiry records and public dispute resolutions.</w:t>
            </w:r>
          </w:p>
        </w:tc>
      </w:tr>
      <w:tr>
        <w:tc>
          <w:tcPr>
            <w:tcW w:type="dxa" w:w="2484"/>
            <w:shd w:fill="FFFFFF"/>
            <w:tcMar>
              <w:top w:w="80" w:type="dxa"/>
              <w:bottom w:w="80" w:type="dxa"/>
              <w:left w:w="100" w:type="dxa"/>
              <w:right w:w="100" w:type="dxa"/>
            </w:tcMar>
          </w:tcPr>
          <w:p>
            <w:r>
              <w:rPr>
                <w:b/>
                <w:color w:val="071426"/>
                <w:sz w:val="17"/>
              </w:rPr>
              <w:t>rr_families</w:t>
            </w:r>
          </w:p>
        </w:tc>
        <w:tc>
          <w:tcPr>
            <w:tcW w:type="dxa" w:w="2484"/>
            <w:shd w:fill="FFFFFF"/>
            <w:tcMar>
              <w:top w:w="80" w:type="dxa"/>
              <w:bottom w:w="80" w:type="dxa"/>
              <w:left w:w="100" w:type="dxa"/>
              <w:right w:w="100" w:type="dxa"/>
            </w:tcMar>
          </w:tcPr>
          <w:p>
            <w:r>
              <w:rPr>
                <w:color w:val="475569"/>
                <w:sz w:val="17"/>
              </w:rPr>
              <w:t>family_id (VARCHAR)</w:t>
            </w:r>
          </w:p>
        </w:tc>
        <w:tc>
          <w:tcPr>
            <w:tcW w:type="dxa" w:w="2484"/>
            <w:shd w:fill="FFFFFF"/>
            <w:tcMar>
              <w:top w:w="80" w:type="dxa"/>
              <w:bottom w:w="80" w:type="dxa"/>
              <w:left w:w="100" w:type="dxa"/>
              <w:right w:w="100" w:type="dxa"/>
            </w:tcMar>
          </w:tcPr>
          <w:p>
            <w:r>
              <w:rPr>
                <w:color w:val="475569"/>
                <w:sz w:val="17"/>
              </w:rPr>
              <w:t>project_id (FK), head_of_family, category, is_displaced, entitlements_settled, amenities (JSON)</w:t>
            </w:r>
          </w:p>
        </w:tc>
        <w:tc>
          <w:tcPr>
            <w:tcW w:type="dxa" w:w="2484"/>
            <w:shd w:fill="FFFFFF"/>
            <w:tcMar>
              <w:top w:w="80" w:type="dxa"/>
              <w:bottom w:w="80" w:type="dxa"/>
              <w:left w:w="100" w:type="dxa"/>
              <w:right w:w="100" w:type="dxa"/>
            </w:tcMar>
          </w:tcPr>
          <w:p>
            <w:r>
              <w:rPr>
                <w:color w:val="475569"/>
                <w:sz w:val="17"/>
              </w:rPr>
              <w:t>Second Schedule Rehabilitation &amp; Resettlement tracking covering displaced and affected families.</w:t>
            </w:r>
          </w:p>
        </w:tc>
      </w:tr>
      <w:tr>
        <w:tc>
          <w:tcPr>
            <w:tcW w:type="dxa" w:w="2484"/>
            <w:shd w:fill="F8FAFC"/>
            <w:tcMar>
              <w:top w:w="80" w:type="dxa"/>
              <w:bottom w:w="80" w:type="dxa"/>
              <w:left w:w="100" w:type="dxa"/>
              <w:right w:w="100" w:type="dxa"/>
            </w:tcMar>
          </w:tcPr>
          <w:p>
            <w:r>
              <w:rPr>
                <w:b/>
                <w:color w:val="071426"/>
                <w:sz w:val="17"/>
              </w:rPr>
              <w:t>larrda_references</w:t>
            </w:r>
          </w:p>
        </w:tc>
        <w:tc>
          <w:tcPr>
            <w:tcW w:type="dxa" w:w="2484"/>
            <w:shd w:fill="F8FAFC"/>
            <w:tcMar>
              <w:top w:w="80" w:type="dxa"/>
              <w:bottom w:w="80" w:type="dxa"/>
              <w:left w:w="100" w:type="dxa"/>
              <w:right w:w="100" w:type="dxa"/>
            </w:tcMar>
          </w:tcPr>
          <w:p>
            <w:r>
              <w:rPr>
                <w:color w:val="475569"/>
                <w:sz w:val="17"/>
              </w:rPr>
              <w:t>id (VARCHAR)</w:t>
            </w:r>
          </w:p>
        </w:tc>
        <w:tc>
          <w:tcPr>
            <w:tcW w:type="dxa" w:w="2484"/>
            <w:shd w:fill="F8FAFC"/>
            <w:tcMar>
              <w:top w:w="80" w:type="dxa"/>
              <w:bottom w:w="80" w:type="dxa"/>
              <w:left w:w="100" w:type="dxa"/>
              <w:right w:w="100" w:type="dxa"/>
            </w:tcMar>
          </w:tcPr>
          <w:p>
            <w:r>
              <w:rPr>
                <w:color w:val="475569"/>
                <w:sz w:val="17"/>
              </w:rPr>
              <w:t>project_id (FK), ulpin (FK), case_no, ground_type, referral_date, hearing_date, appeal_status</w:t>
            </w:r>
          </w:p>
        </w:tc>
        <w:tc>
          <w:tcPr>
            <w:tcW w:type="dxa" w:w="2484"/>
            <w:shd w:fill="F8FAFC"/>
            <w:tcMar>
              <w:top w:w="80" w:type="dxa"/>
              <w:bottom w:w="80" w:type="dxa"/>
              <w:left w:w="100" w:type="dxa"/>
              <w:right w:w="100" w:type="dxa"/>
            </w:tcMar>
          </w:tcPr>
          <w:p>
            <w:r>
              <w:rPr>
                <w:color w:val="475569"/>
                <w:sz w:val="17"/>
              </w:rPr>
              <w:t>Section 64 Land Acquisition Tribunal dockets with 90-day Collector mandate and High Court timers.</w:t>
            </w:r>
          </w:p>
        </w:tc>
      </w:tr>
      <w:tr>
        <w:tc>
          <w:tcPr>
            <w:tcW w:type="dxa" w:w="2484"/>
            <w:shd w:fill="FFFFFF"/>
            <w:tcMar>
              <w:top w:w="80" w:type="dxa"/>
              <w:bottom w:w="80" w:type="dxa"/>
              <w:left w:w="100" w:type="dxa"/>
              <w:right w:w="100" w:type="dxa"/>
            </w:tcMar>
          </w:tcPr>
          <w:p>
            <w:r>
              <w:rPr>
                <w:b/>
                <w:color w:val="071426"/>
                <w:sz w:val="17"/>
              </w:rPr>
              <w:t>field_surveys</w:t>
            </w:r>
          </w:p>
        </w:tc>
        <w:tc>
          <w:tcPr>
            <w:tcW w:type="dxa" w:w="2484"/>
            <w:shd w:fill="FFFFFF"/>
            <w:tcMar>
              <w:top w:w="80" w:type="dxa"/>
              <w:bottom w:w="80" w:type="dxa"/>
              <w:left w:w="100" w:type="dxa"/>
              <w:right w:w="100" w:type="dxa"/>
            </w:tcMar>
          </w:tcPr>
          <w:p>
            <w:r>
              <w:rPr>
                <w:color w:val="475569"/>
                <w:sz w:val="17"/>
              </w:rPr>
              <w:t>id (VARCHAR)</w:t>
            </w:r>
          </w:p>
        </w:tc>
        <w:tc>
          <w:tcPr>
            <w:tcW w:type="dxa" w:w="2484"/>
            <w:shd w:fill="FFFFFF"/>
            <w:tcMar>
              <w:top w:w="80" w:type="dxa"/>
              <w:bottom w:w="80" w:type="dxa"/>
              <w:left w:w="100" w:type="dxa"/>
              <w:right w:w="100" w:type="dxa"/>
            </w:tcMar>
          </w:tcPr>
          <w:p>
            <w:r>
              <w:rPr>
                <w:color w:val="475569"/>
                <w:sz w:val="17"/>
              </w:rPr>
              <w:t>ulpin (FK), surveyor_name, gps_lat, gps_lng, structure_val, tree_val, crop_val, photos (JSON)</w:t>
            </w:r>
          </w:p>
        </w:tc>
        <w:tc>
          <w:tcPr>
            <w:tcW w:type="dxa" w:w="2484"/>
            <w:shd w:fill="FFFFFF"/>
            <w:tcMar>
              <w:top w:w="80" w:type="dxa"/>
              <w:bottom w:w="80" w:type="dxa"/>
              <w:left w:w="100" w:type="dxa"/>
              <w:right w:w="100" w:type="dxa"/>
            </w:tcMar>
          </w:tcPr>
          <w:p>
            <w:r>
              <w:rPr>
                <w:color w:val="475569"/>
                <w:sz w:val="17"/>
              </w:rPr>
              <w:t>Mobile app on-ground asset enumerations synced from surveyor field devices.</w:t>
            </w:r>
          </w:p>
        </w:tc>
      </w:tr>
      <w:tr>
        <w:tc>
          <w:tcPr>
            <w:tcW w:type="dxa" w:w="2484"/>
            <w:shd w:fill="F8FAFC"/>
            <w:tcMar>
              <w:top w:w="80" w:type="dxa"/>
              <w:bottom w:w="80" w:type="dxa"/>
              <w:left w:w="100" w:type="dxa"/>
              <w:right w:w="100" w:type="dxa"/>
            </w:tcMar>
          </w:tcPr>
          <w:p>
            <w:r>
              <w:rPr>
                <w:b/>
                <w:color w:val="071426"/>
                <w:sz w:val="17"/>
              </w:rPr>
              <w:t>users</w:t>
            </w:r>
          </w:p>
        </w:tc>
        <w:tc>
          <w:tcPr>
            <w:tcW w:type="dxa" w:w="2484"/>
            <w:shd w:fill="F8FAFC"/>
            <w:tcMar>
              <w:top w:w="80" w:type="dxa"/>
              <w:bottom w:w="80" w:type="dxa"/>
              <w:left w:w="100" w:type="dxa"/>
              <w:right w:w="100" w:type="dxa"/>
            </w:tcMar>
          </w:tcPr>
          <w:p>
            <w:r>
              <w:rPr>
                <w:color w:val="475569"/>
                <w:sz w:val="17"/>
              </w:rPr>
              <w:t>id (VARCHAR)</w:t>
            </w:r>
          </w:p>
        </w:tc>
        <w:tc>
          <w:tcPr>
            <w:tcW w:type="dxa" w:w="2484"/>
            <w:shd w:fill="F8FAFC"/>
            <w:tcMar>
              <w:top w:w="80" w:type="dxa"/>
              <w:bottom w:w="80" w:type="dxa"/>
              <w:left w:w="100" w:type="dxa"/>
              <w:right w:w="100" w:type="dxa"/>
            </w:tcMar>
          </w:tcPr>
          <w:p>
            <w:r>
              <w:rPr>
                <w:color w:val="475569"/>
                <w:sz w:val="17"/>
              </w:rPr>
              <w:t>email, role (COLLECTOR/CALA/SURVEYOR/AGENCY), designation, district, token</w:t>
            </w:r>
          </w:p>
        </w:tc>
        <w:tc>
          <w:tcPr>
            <w:tcW w:type="dxa" w:w="2484"/>
            <w:shd w:fill="F8FAFC"/>
            <w:tcMar>
              <w:top w:w="80" w:type="dxa"/>
              <w:bottom w:w="80" w:type="dxa"/>
              <w:left w:w="100" w:type="dxa"/>
              <w:right w:w="100" w:type="dxa"/>
            </w:tcMar>
          </w:tcPr>
          <w:p>
            <w:r>
              <w:rPr>
                <w:color w:val="475569"/>
                <w:sz w:val="17"/>
              </w:rPr>
              <w:t>Role-Based Access Control credentials enforcing strict statutory approval rights.</w:t>
            </w:r>
          </w:p>
        </w:tc>
      </w:tr>
    </w:tbl>
    <w:p>
      <w:pPr>
        <w:spacing w:after="280"/>
      </w:pPr>
    </w:p>
    <w:p>
      <w:pPr>
        <w:spacing w:before="320" w:after="120"/>
      </w:pPr>
      <w:r>
        <w:rPr>
          <w:rFonts w:ascii="Arial" w:hAnsi="Arial"/>
          <w:b/>
          <w:color w:val="071426"/>
          <w:sz w:val="28"/>
        </w:rPr>
        <w:t>4. RESTFUL API DIRECTORY &amp; MICROSERVICES INTERFACE</w:t>
      </w:r>
    </w:p>
    <w:tbl>
      <w:tblPr>
        <w:tblW w:type="auto" w:w="0"/>
        <w:jc w:val="center"/>
        <w:tblLook w:firstColumn="1" w:firstRow="1" w:lastColumn="0" w:lastRow="0" w:noHBand="0" w:noVBand="1" w:val="04A0"/>
      </w:tblPr>
      <w:tblGrid>
        <w:gridCol w:w="2484"/>
        <w:gridCol w:w="2484"/>
        <w:gridCol w:w="2484"/>
        <w:gridCol w:w="2484"/>
      </w:tblGrid>
      <w:tr>
        <w:tc>
          <w:tcPr>
            <w:tcW w:type="dxa" w:w="2484"/>
            <w:shd w:fill="071426"/>
            <w:tcMar>
              <w:top w:w="100" w:type="dxa"/>
              <w:bottom w:w="100" w:type="dxa"/>
              <w:left w:w="120" w:type="dxa"/>
              <w:right w:w="120" w:type="dxa"/>
            </w:tcMar>
          </w:tcPr>
          <w:p>
            <w:r>
              <w:rPr>
                <w:b/>
                <w:color w:val="FFFFFF"/>
                <w:sz w:val="18"/>
              </w:rPr>
              <w:t>HTTP Method</w:t>
            </w:r>
          </w:p>
        </w:tc>
        <w:tc>
          <w:tcPr>
            <w:tcW w:type="dxa" w:w="2484"/>
            <w:shd w:fill="071426"/>
            <w:tcMar>
              <w:top w:w="100" w:type="dxa"/>
              <w:bottom w:w="100" w:type="dxa"/>
              <w:left w:w="120" w:type="dxa"/>
              <w:right w:w="120" w:type="dxa"/>
            </w:tcMar>
          </w:tcPr>
          <w:p>
            <w:r>
              <w:rPr>
                <w:b/>
                <w:color w:val="FFFFFF"/>
                <w:sz w:val="18"/>
              </w:rPr>
              <w:t>API Route Path</w:t>
            </w:r>
          </w:p>
        </w:tc>
        <w:tc>
          <w:tcPr>
            <w:tcW w:type="dxa" w:w="2484"/>
            <w:shd w:fill="071426"/>
            <w:tcMar>
              <w:top w:w="100" w:type="dxa"/>
              <w:bottom w:w="100" w:type="dxa"/>
              <w:left w:w="120" w:type="dxa"/>
              <w:right w:w="120" w:type="dxa"/>
            </w:tcMar>
          </w:tcPr>
          <w:p>
            <w:r>
              <w:rPr>
                <w:b/>
                <w:color w:val="FFFFFF"/>
                <w:sz w:val="18"/>
              </w:rPr>
              <w:t>Parameters / Body</w:t>
            </w:r>
          </w:p>
        </w:tc>
        <w:tc>
          <w:tcPr>
            <w:tcW w:type="dxa" w:w="2484"/>
            <w:shd w:fill="071426"/>
            <w:tcMar>
              <w:top w:w="100" w:type="dxa"/>
              <w:bottom w:w="100" w:type="dxa"/>
              <w:left w:w="120" w:type="dxa"/>
              <w:right w:w="120" w:type="dxa"/>
            </w:tcMar>
          </w:tcPr>
          <w:p>
            <w:r>
              <w:rPr>
                <w:b/>
                <w:color w:val="FFFFFF"/>
                <w:sz w:val="18"/>
              </w:rPr>
              <w:t>Operation &amp; Integration Scope</w:t>
            </w:r>
          </w:p>
        </w:tc>
      </w:tr>
      <w:tr>
        <w:tc>
          <w:tcPr>
            <w:tcW w:type="dxa" w:w="2484"/>
            <w:shd w:fill="F8FAFC"/>
            <w:tcMar>
              <w:top w:w="80" w:type="dxa"/>
              <w:bottom w:w="80" w:type="dxa"/>
              <w:left w:w="100" w:type="dxa"/>
              <w:right w:w="100" w:type="dxa"/>
            </w:tcMar>
          </w:tcPr>
          <w:p>
            <w:r>
              <w:rPr>
                <w:b/>
                <w:color w:val="059669"/>
                <w:sz w:val="17"/>
              </w:rPr>
              <w:t>GET</w:t>
            </w:r>
          </w:p>
        </w:tc>
        <w:tc>
          <w:tcPr>
            <w:tcW w:type="dxa" w:w="2484"/>
            <w:shd w:fill="F8FAFC"/>
            <w:tcMar>
              <w:top w:w="80" w:type="dxa"/>
              <w:bottom w:w="80" w:type="dxa"/>
              <w:left w:w="100" w:type="dxa"/>
              <w:right w:w="100" w:type="dxa"/>
            </w:tcMar>
          </w:tcPr>
          <w:p>
            <w:r>
              <w:rPr>
                <w:color w:val="475569"/>
                <w:sz w:val="17"/>
              </w:rPr>
              <w:t>/api/national-metrics</w:t>
            </w:r>
          </w:p>
        </w:tc>
        <w:tc>
          <w:tcPr>
            <w:tcW w:type="dxa" w:w="2484"/>
            <w:shd w:fill="F8FAFC"/>
            <w:tcMar>
              <w:top w:w="80" w:type="dxa"/>
              <w:bottom w:w="80" w:type="dxa"/>
              <w:left w:w="100" w:type="dxa"/>
              <w:right w:w="100" w:type="dxa"/>
            </w:tcMar>
          </w:tcPr>
          <w:p>
            <w:r>
              <w:rPr>
                <w:color w:val="475569"/>
                <w:sz w:val="17"/>
              </w:rPr>
              <w:t>None</w:t>
            </w:r>
          </w:p>
        </w:tc>
        <w:tc>
          <w:tcPr>
            <w:tcW w:type="dxa" w:w="2484"/>
            <w:shd w:fill="F8FAFC"/>
            <w:tcMar>
              <w:top w:w="80" w:type="dxa"/>
              <w:bottom w:w="80" w:type="dxa"/>
              <w:left w:w="100" w:type="dxa"/>
              <w:right w:w="100" w:type="dxa"/>
            </w:tcMar>
          </w:tcPr>
          <w:p>
            <w:r>
              <w:rPr>
                <w:color w:val="475569"/>
                <w:sz w:val="17"/>
              </w:rPr>
              <w:t>Returns consolidated national statistics: Total DBT disbursed, corridor acreage, and active ULPIN locks.</w:t>
            </w:r>
          </w:p>
        </w:tc>
      </w:tr>
      <w:tr>
        <w:tc>
          <w:tcPr>
            <w:tcW w:type="dxa" w:w="2484"/>
            <w:shd w:fill="FFFFFF"/>
            <w:tcMar>
              <w:top w:w="80" w:type="dxa"/>
              <w:bottom w:w="80" w:type="dxa"/>
              <w:left w:w="100" w:type="dxa"/>
              <w:right w:w="100" w:type="dxa"/>
            </w:tcMar>
          </w:tcPr>
          <w:p>
            <w:r>
              <w:rPr>
                <w:b/>
                <w:color w:val="059669"/>
                <w:sz w:val="17"/>
              </w:rPr>
              <w:t>GET</w:t>
            </w:r>
          </w:p>
        </w:tc>
        <w:tc>
          <w:tcPr>
            <w:tcW w:type="dxa" w:w="2484"/>
            <w:shd w:fill="FFFFFF"/>
            <w:tcMar>
              <w:top w:w="80" w:type="dxa"/>
              <w:bottom w:w="80" w:type="dxa"/>
              <w:left w:w="100" w:type="dxa"/>
              <w:right w:w="100" w:type="dxa"/>
            </w:tcMar>
          </w:tcPr>
          <w:p>
            <w:r>
              <w:rPr>
                <w:color w:val="475569"/>
                <w:sz w:val="17"/>
              </w:rPr>
              <w:t>/api/projects</w:t>
            </w:r>
          </w:p>
        </w:tc>
        <w:tc>
          <w:tcPr>
            <w:tcW w:type="dxa" w:w="2484"/>
            <w:shd w:fill="FFFFFF"/>
            <w:tcMar>
              <w:top w:w="80" w:type="dxa"/>
              <w:bottom w:w="80" w:type="dxa"/>
              <w:left w:w="100" w:type="dxa"/>
              <w:right w:w="100" w:type="dxa"/>
            </w:tcMar>
          </w:tcPr>
          <w:p>
            <w:r>
              <w:rPr>
                <w:color w:val="475569"/>
                <w:sz w:val="17"/>
              </w:rPr>
              <w:t>None</w:t>
            </w:r>
          </w:p>
        </w:tc>
        <w:tc>
          <w:tcPr>
            <w:tcW w:type="dxa" w:w="2484"/>
            <w:shd w:fill="FFFFFF"/>
            <w:tcMar>
              <w:top w:w="80" w:type="dxa"/>
              <w:bottom w:w="80" w:type="dxa"/>
              <w:left w:w="100" w:type="dxa"/>
              <w:right w:w="100" w:type="dxa"/>
            </w:tcMar>
          </w:tcPr>
          <w:p>
            <w:r>
              <w:rPr>
                <w:color w:val="475569"/>
                <w:sz w:val="17"/>
              </w:rPr>
              <w:t>Retrieves all linear infrastructure corridors with vector alignment coordinates and stage progress.</w:t>
            </w:r>
          </w:p>
        </w:tc>
      </w:tr>
      <w:tr>
        <w:tc>
          <w:tcPr>
            <w:tcW w:type="dxa" w:w="2484"/>
            <w:shd w:fill="F8FAFC"/>
            <w:tcMar>
              <w:top w:w="80" w:type="dxa"/>
              <w:bottom w:w="80" w:type="dxa"/>
              <w:left w:w="100" w:type="dxa"/>
              <w:right w:w="100" w:type="dxa"/>
            </w:tcMar>
          </w:tcPr>
          <w:p>
            <w:r>
              <w:rPr>
                <w:b/>
                <w:color w:val="059669"/>
                <w:sz w:val="17"/>
              </w:rPr>
              <w:t>GET</w:t>
            </w:r>
          </w:p>
        </w:tc>
        <w:tc>
          <w:tcPr>
            <w:tcW w:type="dxa" w:w="2484"/>
            <w:shd w:fill="F8FAFC"/>
            <w:tcMar>
              <w:top w:w="80" w:type="dxa"/>
              <w:bottom w:w="80" w:type="dxa"/>
              <w:left w:w="100" w:type="dxa"/>
              <w:right w:w="100" w:type="dxa"/>
            </w:tcMar>
          </w:tcPr>
          <w:p>
            <w:r>
              <w:rPr>
                <w:color w:val="475569"/>
                <w:sz w:val="17"/>
              </w:rPr>
              <w:t>/api/projects/:id</w:t>
            </w:r>
          </w:p>
        </w:tc>
        <w:tc>
          <w:tcPr>
            <w:tcW w:type="dxa" w:w="2484"/>
            <w:shd w:fill="F8FAFC"/>
            <w:tcMar>
              <w:top w:w="80" w:type="dxa"/>
              <w:bottom w:w="80" w:type="dxa"/>
              <w:left w:w="100" w:type="dxa"/>
              <w:right w:w="100" w:type="dxa"/>
            </w:tcMar>
          </w:tcPr>
          <w:p>
            <w:r>
              <w:rPr>
                <w:color w:val="475569"/>
                <w:sz w:val="17"/>
              </w:rPr>
              <w:t>project_id in path</w:t>
            </w:r>
          </w:p>
        </w:tc>
        <w:tc>
          <w:tcPr>
            <w:tcW w:type="dxa" w:w="2484"/>
            <w:shd w:fill="F8FAFC"/>
            <w:tcMar>
              <w:top w:w="80" w:type="dxa"/>
              <w:bottom w:w="80" w:type="dxa"/>
              <w:left w:w="100" w:type="dxa"/>
              <w:right w:w="100" w:type="dxa"/>
            </w:tcMar>
          </w:tcPr>
          <w:p>
            <w:r>
              <w:rPr>
                <w:color w:val="475569"/>
                <w:sz w:val="17"/>
              </w:rPr>
              <w:t>Fetches single project corridor details including cadastral parcel lists and possession status.</w:t>
            </w:r>
          </w:p>
        </w:tc>
      </w:tr>
      <w:tr>
        <w:tc>
          <w:tcPr>
            <w:tcW w:type="dxa" w:w="2484"/>
            <w:shd w:fill="FFFFFF"/>
            <w:tcMar>
              <w:top w:w="80" w:type="dxa"/>
              <w:bottom w:w="80" w:type="dxa"/>
              <w:left w:w="100" w:type="dxa"/>
              <w:right w:w="100" w:type="dxa"/>
            </w:tcMar>
          </w:tcPr>
          <w:p>
            <w:r>
              <w:rPr>
                <w:b/>
                <w:color w:val="EA580C"/>
                <w:sz w:val="17"/>
              </w:rPr>
              <w:t>POST</w:t>
            </w:r>
          </w:p>
        </w:tc>
        <w:tc>
          <w:tcPr>
            <w:tcW w:type="dxa" w:w="2484"/>
            <w:shd w:fill="FFFFFF"/>
            <w:tcMar>
              <w:top w:w="80" w:type="dxa"/>
              <w:bottom w:w="80" w:type="dxa"/>
              <w:left w:w="100" w:type="dxa"/>
              <w:right w:w="100" w:type="dxa"/>
            </w:tcMar>
          </w:tcPr>
          <w:p>
            <w:r>
              <w:rPr>
                <w:color w:val="475569"/>
                <w:sz w:val="17"/>
              </w:rPr>
              <w:t>/api/calculate-valuation</w:t>
            </w:r>
          </w:p>
        </w:tc>
        <w:tc>
          <w:tcPr>
            <w:tcW w:type="dxa" w:w="2484"/>
            <w:shd w:fill="FFFFFF"/>
            <w:tcMar>
              <w:top w:w="80" w:type="dxa"/>
              <w:bottom w:w="80" w:type="dxa"/>
              <w:left w:w="100" w:type="dxa"/>
              <w:right w:w="100" w:type="dxa"/>
            </w:tcMar>
          </w:tcPr>
          <w:p>
            <w:r>
              <w:rPr>
                <w:color w:val="475569"/>
                <w:sz w:val="17"/>
              </w:rPr>
              <w:t>JSON payload (area, circle_rate, sale_rate, rural_multiplier, assets, solatium)</w:t>
            </w:r>
          </w:p>
        </w:tc>
        <w:tc>
          <w:tcPr>
            <w:tcW w:type="dxa" w:w="2484"/>
            <w:shd w:fill="FFFFFF"/>
            <w:tcMar>
              <w:top w:w="80" w:type="dxa"/>
              <w:bottom w:w="80" w:type="dxa"/>
              <w:left w:w="100" w:type="dxa"/>
              <w:right w:w="100" w:type="dxa"/>
            </w:tcMar>
          </w:tcPr>
          <w:p>
            <w:r>
              <w:rPr>
                <w:color w:val="475569"/>
                <w:sz w:val="17"/>
              </w:rPr>
              <w:t>Executes audited First Schedule statutory compensation formula and returns line-item award slip breakdown.</w:t>
            </w:r>
          </w:p>
        </w:tc>
      </w:tr>
      <w:tr>
        <w:tc>
          <w:tcPr>
            <w:tcW w:type="dxa" w:w="2484"/>
            <w:shd w:fill="F8FAFC"/>
            <w:tcMar>
              <w:top w:w="80" w:type="dxa"/>
              <w:bottom w:w="80" w:type="dxa"/>
              <w:left w:w="100" w:type="dxa"/>
              <w:right w:w="100" w:type="dxa"/>
            </w:tcMar>
          </w:tcPr>
          <w:p>
            <w:r>
              <w:rPr>
                <w:b/>
                <w:color w:val="EA580C"/>
                <w:sz w:val="17"/>
              </w:rPr>
              <w:t>POST</w:t>
            </w:r>
          </w:p>
        </w:tc>
        <w:tc>
          <w:tcPr>
            <w:tcW w:type="dxa" w:w="2484"/>
            <w:shd w:fill="F8FAFC"/>
            <w:tcMar>
              <w:top w:w="80" w:type="dxa"/>
              <w:bottom w:w="80" w:type="dxa"/>
              <w:left w:w="100" w:type="dxa"/>
              <w:right w:w="100" w:type="dxa"/>
            </w:tcMar>
          </w:tcPr>
          <w:p>
            <w:r>
              <w:rPr>
                <w:color w:val="475569"/>
                <w:sz w:val="17"/>
              </w:rPr>
              <w:t>/api/predict-delay</w:t>
            </w:r>
          </w:p>
        </w:tc>
        <w:tc>
          <w:tcPr>
            <w:tcW w:type="dxa" w:w="2484"/>
            <w:shd w:fill="F8FAFC"/>
            <w:tcMar>
              <w:top w:w="80" w:type="dxa"/>
              <w:bottom w:w="80" w:type="dxa"/>
              <w:left w:w="100" w:type="dxa"/>
              <w:right w:w="100" w:type="dxa"/>
            </w:tcMar>
          </w:tcPr>
          <w:p>
            <w:r>
              <w:rPr>
                <w:color w:val="475569"/>
                <w:sz w:val="17"/>
              </w:rPr>
              <w:t>JSON payload (current_stage, dwell_days, objections, rr_progress)</w:t>
            </w:r>
          </w:p>
        </w:tc>
        <w:tc>
          <w:tcPr>
            <w:tcW w:type="dxa" w:w="2484"/>
            <w:shd w:fill="F8FAFC"/>
            <w:tcMar>
              <w:top w:w="80" w:type="dxa"/>
              <w:bottom w:w="80" w:type="dxa"/>
              <w:left w:w="100" w:type="dxa"/>
              <w:right w:w="100" w:type="dxa"/>
            </w:tcMar>
          </w:tcPr>
          <w:p>
            <w:r>
              <w:rPr>
                <w:color w:val="475569"/>
                <w:sz w:val="17"/>
              </w:rPr>
              <w:t>AI Decision-Support engine calculating projected delay months, critical bottleneck stage, and mitigation actions.</w:t>
            </w:r>
          </w:p>
        </w:tc>
      </w:tr>
      <w:tr>
        <w:tc>
          <w:tcPr>
            <w:tcW w:type="dxa" w:w="2484"/>
            <w:shd w:fill="FFFFFF"/>
            <w:tcMar>
              <w:top w:w="80" w:type="dxa"/>
              <w:bottom w:w="80" w:type="dxa"/>
              <w:left w:w="100" w:type="dxa"/>
              <w:right w:w="100" w:type="dxa"/>
            </w:tcMar>
          </w:tcPr>
          <w:p>
            <w:r>
              <w:rPr>
                <w:b/>
                <w:color w:val="059669"/>
                <w:sz w:val="17"/>
              </w:rPr>
              <w:t>GET</w:t>
            </w:r>
          </w:p>
        </w:tc>
        <w:tc>
          <w:tcPr>
            <w:tcW w:type="dxa" w:w="2484"/>
            <w:shd w:fill="FFFFFF"/>
            <w:tcMar>
              <w:top w:w="80" w:type="dxa"/>
              <w:bottom w:w="80" w:type="dxa"/>
              <w:left w:w="100" w:type="dxa"/>
              <w:right w:w="100" w:type="dxa"/>
            </w:tcMar>
          </w:tcPr>
          <w:p>
            <w:r>
              <w:rPr>
                <w:color w:val="475569"/>
                <w:sz w:val="17"/>
              </w:rPr>
              <w:t>/api/citizen-lookup</w:t>
            </w:r>
          </w:p>
        </w:tc>
        <w:tc>
          <w:tcPr>
            <w:tcW w:type="dxa" w:w="2484"/>
            <w:shd w:fill="FFFFFF"/>
            <w:tcMar>
              <w:top w:w="80" w:type="dxa"/>
              <w:bottom w:w="80" w:type="dxa"/>
              <w:left w:w="100" w:type="dxa"/>
              <w:right w:w="100" w:type="dxa"/>
            </w:tcMar>
          </w:tcPr>
          <w:p>
            <w:r>
              <w:rPr>
                <w:color w:val="475569"/>
                <w:sz w:val="17"/>
              </w:rPr>
              <w:t>Query: ?query=ULPIN/Khasra/Name</w:t>
            </w:r>
          </w:p>
        </w:tc>
        <w:tc>
          <w:tcPr>
            <w:tcW w:type="dxa" w:w="2484"/>
            <w:shd w:fill="FFFFFF"/>
            <w:tcMar>
              <w:top w:w="80" w:type="dxa"/>
              <w:bottom w:w="80" w:type="dxa"/>
              <w:left w:w="100" w:type="dxa"/>
              <w:right w:w="100" w:type="dxa"/>
            </w:tcMar>
          </w:tcPr>
          <w:p>
            <w:r>
              <w:rPr>
                <w:color w:val="475569"/>
                <w:sz w:val="17"/>
              </w:rPr>
              <w:t>Open citizen search returning landholding status, encumbrance lock, and digital award estimate.</w:t>
            </w:r>
          </w:p>
        </w:tc>
      </w:tr>
      <w:tr>
        <w:tc>
          <w:tcPr>
            <w:tcW w:type="dxa" w:w="2484"/>
            <w:shd w:fill="F8FAFC"/>
            <w:tcMar>
              <w:top w:w="80" w:type="dxa"/>
              <w:bottom w:w="80" w:type="dxa"/>
              <w:left w:w="100" w:type="dxa"/>
              <w:right w:w="100" w:type="dxa"/>
            </w:tcMar>
          </w:tcPr>
          <w:p>
            <w:r>
              <w:rPr>
                <w:b/>
                <w:color w:val="EA580C"/>
                <w:sz w:val="17"/>
              </w:rPr>
              <w:t>POST</w:t>
            </w:r>
          </w:p>
        </w:tc>
        <w:tc>
          <w:tcPr>
            <w:tcW w:type="dxa" w:w="2484"/>
            <w:shd w:fill="F8FAFC"/>
            <w:tcMar>
              <w:top w:w="80" w:type="dxa"/>
              <w:bottom w:w="80" w:type="dxa"/>
              <w:left w:w="100" w:type="dxa"/>
              <w:right w:w="100" w:type="dxa"/>
            </w:tcMar>
          </w:tcPr>
          <w:p>
            <w:r>
              <w:rPr>
                <w:color w:val="475569"/>
                <w:sz w:val="17"/>
              </w:rPr>
              <w:t>/api/auth/login</w:t>
            </w:r>
          </w:p>
        </w:tc>
        <w:tc>
          <w:tcPr>
            <w:tcW w:type="dxa" w:w="2484"/>
            <w:shd w:fill="F8FAFC"/>
            <w:tcMar>
              <w:top w:w="80" w:type="dxa"/>
              <w:bottom w:w="80" w:type="dxa"/>
              <w:left w:w="100" w:type="dxa"/>
              <w:right w:w="100" w:type="dxa"/>
            </w:tcMar>
          </w:tcPr>
          <w:p>
            <w:r>
              <w:rPr>
                <w:color w:val="475569"/>
                <w:sz w:val="17"/>
              </w:rPr>
              <w:t>JSON payload (email, role)</w:t>
            </w:r>
          </w:p>
        </w:tc>
        <w:tc>
          <w:tcPr>
            <w:tcW w:type="dxa" w:w="2484"/>
            <w:shd w:fill="F8FAFC"/>
            <w:tcMar>
              <w:top w:w="80" w:type="dxa"/>
              <w:bottom w:w="80" w:type="dxa"/>
              <w:left w:w="100" w:type="dxa"/>
              <w:right w:w="100" w:type="dxa"/>
            </w:tcMar>
          </w:tcPr>
          <w:p>
            <w:r>
              <w:rPr>
                <w:color w:val="475569"/>
                <w:sz w:val="17"/>
              </w:rPr>
              <w:t>Role-Based Access Control session generation for Collector, CALA, Surveyor, and NHAI GM.</w:t>
            </w:r>
          </w:p>
        </w:tc>
      </w:tr>
      <w:tr>
        <w:tc>
          <w:tcPr>
            <w:tcW w:type="dxa" w:w="2484"/>
            <w:shd w:fill="FFFFFF"/>
            <w:tcMar>
              <w:top w:w="80" w:type="dxa"/>
              <w:bottom w:w="80" w:type="dxa"/>
              <w:left w:w="100" w:type="dxa"/>
              <w:right w:w="100" w:type="dxa"/>
            </w:tcMar>
          </w:tcPr>
          <w:p>
            <w:r>
              <w:rPr>
                <w:b/>
                <w:color w:val="EA580C"/>
                <w:sz w:val="17"/>
              </w:rPr>
              <w:t>GET / POST</w:t>
            </w:r>
          </w:p>
        </w:tc>
        <w:tc>
          <w:tcPr>
            <w:tcW w:type="dxa" w:w="2484"/>
            <w:shd w:fill="FFFFFF"/>
            <w:tcMar>
              <w:top w:w="80" w:type="dxa"/>
              <w:bottom w:w="80" w:type="dxa"/>
              <w:left w:w="100" w:type="dxa"/>
              <w:right w:w="100" w:type="dxa"/>
            </w:tcMar>
          </w:tcPr>
          <w:p>
            <w:r>
              <w:rPr>
                <w:color w:val="475569"/>
                <w:sz w:val="17"/>
              </w:rPr>
              <w:t>/api/projects/:id/objections</w:t>
            </w:r>
          </w:p>
        </w:tc>
        <w:tc>
          <w:tcPr>
            <w:tcW w:type="dxa" w:w="2484"/>
            <w:shd w:fill="FFFFFF"/>
            <w:tcMar>
              <w:top w:w="80" w:type="dxa"/>
              <w:bottom w:w="80" w:type="dxa"/>
              <w:left w:w="100" w:type="dxa"/>
              <w:right w:w="100" w:type="dxa"/>
            </w:tcMar>
          </w:tcPr>
          <w:p>
            <w:r>
              <w:rPr>
                <w:color w:val="475569"/>
                <w:sz w:val="17"/>
              </w:rPr>
              <w:t>JSON payload (ulpin, claimant, ground)</w:t>
            </w:r>
          </w:p>
        </w:tc>
        <w:tc>
          <w:tcPr>
            <w:tcW w:type="dxa" w:w="2484"/>
            <w:shd w:fill="FFFFFF"/>
            <w:tcMar>
              <w:top w:w="80" w:type="dxa"/>
              <w:bottom w:w="80" w:type="dxa"/>
              <w:left w:w="100" w:type="dxa"/>
              <w:right w:w="100" w:type="dxa"/>
            </w:tcMar>
          </w:tcPr>
          <w:p>
            <w:r>
              <w:rPr>
                <w:color w:val="475569"/>
                <w:sz w:val="17"/>
              </w:rPr>
              <w:t>Section 15 inquiry docketing, quasi-judicial hearing scheduling, and reasoned order generation.</w:t>
            </w:r>
          </w:p>
        </w:tc>
      </w:tr>
      <w:tr>
        <w:tc>
          <w:tcPr>
            <w:tcW w:type="dxa" w:w="2484"/>
            <w:shd w:fill="F8FAFC"/>
            <w:tcMar>
              <w:top w:w="80" w:type="dxa"/>
              <w:bottom w:w="80" w:type="dxa"/>
              <w:left w:w="100" w:type="dxa"/>
              <w:right w:w="100" w:type="dxa"/>
            </w:tcMar>
          </w:tcPr>
          <w:p>
            <w:r>
              <w:rPr>
                <w:b/>
                <w:color w:val="EA580C"/>
                <w:sz w:val="17"/>
              </w:rPr>
              <w:t>GET / POST</w:t>
            </w:r>
          </w:p>
        </w:tc>
        <w:tc>
          <w:tcPr>
            <w:tcW w:type="dxa" w:w="2484"/>
            <w:shd w:fill="F8FAFC"/>
            <w:tcMar>
              <w:top w:w="80" w:type="dxa"/>
              <w:bottom w:w="80" w:type="dxa"/>
              <w:left w:w="100" w:type="dxa"/>
              <w:right w:w="100" w:type="dxa"/>
            </w:tcMar>
          </w:tcPr>
          <w:p>
            <w:r>
              <w:rPr>
                <w:color w:val="475569"/>
                <w:sz w:val="17"/>
              </w:rPr>
              <w:t>/api/projects/:id/rr-tracking</w:t>
            </w:r>
          </w:p>
        </w:tc>
        <w:tc>
          <w:tcPr>
            <w:tcW w:type="dxa" w:w="2484"/>
            <w:shd w:fill="F8FAFC"/>
            <w:tcMar>
              <w:top w:w="80" w:type="dxa"/>
              <w:bottom w:w="80" w:type="dxa"/>
              <w:left w:w="100" w:type="dxa"/>
              <w:right w:w="100" w:type="dxa"/>
            </w:tcMar>
          </w:tcPr>
          <w:p>
            <w:r>
              <w:rPr>
                <w:color w:val="475569"/>
                <w:sz w:val="17"/>
              </w:rPr>
              <w:t>JSON payload (family_id, entitlements_settled)</w:t>
            </w:r>
          </w:p>
        </w:tc>
        <w:tc>
          <w:tcPr>
            <w:tcW w:type="dxa" w:w="2484"/>
            <w:shd w:fill="F8FAFC"/>
            <w:tcMar>
              <w:top w:w="80" w:type="dxa"/>
              <w:bottom w:w="80" w:type="dxa"/>
              <w:left w:w="100" w:type="dxa"/>
              <w:right w:w="100" w:type="dxa"/>
            </w:tcMar>
          </w:tcPr>
          <w:p>
            <w:r>
              <w:rPr>
                <w:color w:val="475569"/>
                <w:sz w:val="17"/>
              </w:rPr>
              <w:t>Second Schedule R&amp;R progress ledger, housing grant verification, and amenity allocations.</w:t>
            </w:r>
          </w:p>
        </w:tc>
      </w:tr>
      <w:tr>
        <w:tc>
          <w:tcPr>
            <w:tcW w:type="dxa" w:w="2484"/>
            <w:shd w:fill="FFFFFF"/>
            <w:tcMar>
              <w:top w:w="80" w:type="dxa"/>
              <w:bottom w:w="80" w:type="dxa"/>
              <w:left w:w="100" w:type="dxa"/>
              <w:right w:w="100" w:type="dxa"/>
            </w:tcMar>
          </w:tcPr>
          <w:p>
            <w:r>
              <w:rPr>
                <w:b/>
                <w:color w:val="EA580C"/>
                <w:sz w:val="17"/>
              </w:rPr>
              <w:t>GET / POST</w:t>
            </w:r>
          </w:p>
        </w:tc>
        <w:tc>
          <w:tcPr>
            <w:tcW w:type="dxa" w:w="2484"/>
            <w:shd w:fill="FFFFFF"/>
            <w:tcMar>
              <w:top w:w="80" w:type="dxa"/>
              <w:bottom w:w="80" w:type="dxa"/>
              <w:left w:w="100" w:type="dxa"/>
              <w:right w:w="100" w:type="dxa"/>
            </w:tcMar>
          </w:tcPr>
          <w:p>
            <w:r>
              <w:rPr>
                <w:color w:val="475569"/>
                <w:sz w:val="17"/>
              </w:rPr>
              <w:t>/api/larrda-references</w:t>
            </w:r>
          </w:p>
        </w:tc>
        <w:tc>
          <w:tcPr>
            <w:tcW w:type="dxa" w:w="2484"/>
            <w:shd w:fill="FFFFFF"/>
            <w:tcMar>
              <w:top w:w="80" w:type="dxa"/>
              <w:bottom w:w="80" w:type="dxa"/>
              <w:left w:w="100" w:type="dxa"/>
              <w:right w:w="100" w:type="dxa"/>
            </w:tcMar>
          </w:tcPr>
          <w:p>
            <w:r>
              <w:rPr>
                <w:color w:val="475569"/>
                <w:sz w:val="17"/>
              </w:rPr>
              <w:t>JSON payload (ulpin, ground_type, case_no)</w:t>
            </w:r>
          </w:p>
        </w:tc>
        <w:tc>
          <w:tcPr>
            <w:tcW w:type="dxa" w:w="2484"/>
            <w:shd w:fill="FFFFFF"/>
            <w:tcMar>
              <w:top w:w="80" w:type="dxa"/>
              <w:bottom w:w="80" w:type="dxa"/>
              <w:left w:w="100" w:type="dxa"/>
              <w:right w:w="100" w:type="dxa"/>
            </w:tcMar>
          </w:tcPr>
          <w:p>
            <w:r>
              <w:rPr>
                <w:color w:val="475569"/>
                <w:sz w:val="17"/>
              </w:rPr>
              <w:t>Section 64 Land Acquisition Tribunal reference logging with 90-day Collector mandate and HC appeal tracking.</w:t>
            </w:r>
          </w:p>
        </w:tc>
      </w:tr>
      <w:tr>
        <w:tc>
          <w:tcPr>
            <w:tcW w:type="dxa" w:w="2484"/>
            <w:shd w:fill="F8FAFC"/>
            <w:tcMar>
              <w:top w:w="80" w:type="dxa"/>
              <w:bottom w:w="80" w:type="dxa"/>
              <w:left w:w="100" w:type="dxa"/>
              <w:right w:w="100" w:type="dxa"/>
            </w:tcMar>
          </w:tcPr>
          <w:p>
            <w:r>
              <w:rPr>
                <w:b/>
                <w:color w:val="EA580C"/>
                <w:sz w:val="17"/>
              </w:rPr>
              <w:t>POST</w:t>
            </w:r>
          </w:p>
        </w:tc>
        <w:tc>
          <w:tcPr>
            <w:tcW w:type="dxa" w:w="2484"/>
            <w:shd w:fill="F8FAFC"/>
            <w:tcMar>
              <w:top w:w="80" w:type="dxa"/>
              <w:bottom w:w="80" w:type="dxa"/>
              <w:left w:w="100" w:type="dxa"/>
              <w:right w:w="100" w:type="dxa"/>
            </w:tcMar>
          </w:tcPr>
          <w:p>
            <w:r>
              <w:rPr>
                <w:color w:val="475569"/>
                <w:sz w:val="17"/>
              </w:rPr>
              <w:t>/api/field-surveys/sync</w:t>
            </w:r>
          </w:p>
        </w:tc>
        <w:tc>
          <w:tcPr>
            <w:tcW w:type="dxa" w:w="2484"/>
            <w:shd w:fill="F8FAFC"/>
            <w:tcMar>
              <w:top w:w="80" w:type="dxa"/>
              <w:bottom w:w="80" w:type="dxa"/>
              <w:left w:w="100" w:type="dxa"/>
              <w:right w:w="100" w:type="dxa"/>
            </w:tcMar>
          </w:tcPr>
          <w:p>
            <w:r>
              <w:rPr>
                <w:color w:val="475569"/>
                <w:sz w:val="17"/>
              </w:rPr>
              <w:t>JSON payload (ulpin, surveyor, assets, gps)</w:t>
            </w:r>
          </w:p>
        </w:tc>
        <w:tc>
          <w:tcPr>
            <w:tcW w:type="dxa" w:w="2484"/>
            <w:shd w:fill="F8FAFC"/>
            <w:tcMar>
              <w:top w:w="80" w:type="dxa"/>
              <w:bottom w:w="80" w:type="dxa"/>
              <w:left w:w="100" w:type="dxa"/>
              <w:right w:w="100" w:type="dxa"/>
            </w:tcMar>
          </w:tcPr>
          <w:p>
            <w:r>
              <w:rPr>
                <w:color w:val="475569"/>
                <w:sz w:val="17"/>
              </w:rPr>
              <w:t>Mobile on-ground survey synchronization endpoint integrating Flutter field tablets.</w:t>
            </w:r>
          </w:p>
        </w:tc>
      </w:tr>
      <w:tr>
        <w:tc>
          <w:tcPr>
            <w:tcW w:type="dxa" w:w="2484"/>
            <w:shd w:fill="FFFFFF"/>
            <w:tcMar>
              <w:top w:w="80" w:type="dxa"/>
              <w:bottom w:w="80" w:type="dxa"/>
              <w:left w:w="100" w:type="dxa"/>
              <w:right w:w="100" w:type="dxa"/>
            </w:tcMar>
          </w:tcPr>
          <w:p>
            <w:r>
              <w:rPr>
                <w:b/>
                <w:color w:val="EA580C"/>
                <w:sz w:val="17"/>
              </w:rPr>
              <w:t>POST</w:t>
            </w:r>
          </w:p>
        </w:tc>
        <w:tc>
          <w:tcPr>
            <w:tcW w:type="dxa" w:w="2484"/>
            <w:shd w:fill="FFFFFF"/>
            <w:tcMar>
              <w:top w:w="80" w:type="dxa"/>
              <w:bottom w:w="80" w:type="dxa"/>
              <w:left w:w="100" w:type="dxa"/>
              <w:right w:w="100" w:type="dxa"/>
            </w:tcMar>
          </w:tcPr>
          <w:p>
            <w:r>
              <w:rPr>
                <w:color w:val="475569"/>
                <w:sz w:val="17"/>
              </w:rPr>
              <w:t>/api/parcels/:ulpin/split-khata</w:t>
            </w:r>
          </w:p>
        </w:tc>
        <w:tc>
          <w:tcPr>
            <w:tcW w:type="dxa" w:w="2484"/>
            <w:shd w:fill="FFFFFF"/>
            <w:tcMar>
              <w:top w:w="80" w:type="dxa"/>
              <w:bottom w:w="80" w:type="dxa"/>
              <w:left w:w="100" w:type="dxa"/>
              <w:right w:w="100" w:type="dxa"/>
            </w:tcMar>
          </w:tcPr>
          <w:p>
            <w:r>
              <w:rPr>
                <w:color w:val="475569"/>
                <w:sz w:val="17"/>
              </w:rPr>
              <w:t>JSON payload (heirs array with share %)</w:t>
            </w:r>
          </w:p>
        </w:tc>
        <w:tc>
          <w:tcPr>
            <w:tcW w:type="dxa" w:w="2484"/>
            <w:shd w:fill="FFFFFF"/>
            <w:tcMar>
              <w:top w:w="80" w:type="dxa"/>
              <w:bottom w:w="80" w:type="dxa"/>
              <w:left w:w="100" w:type="dxa"/>
              <w:right w:w="100" w:type="dxa"/>
            </w:tcMar>
          </w:tcPr>
          <w:p>
            <w:r>
              <w:rPr>
                <w:color w:val="475569"/>
                <w:sz w:val="17"/>
              </w:rPr>
              <w:t>Splits joint-khata ancestral holdings among legal co-heirs with individualized DBT shares.</w:t>
            </w:r>
          </w:p>
        </w:tc>
      </w:tr>
    </w:tbl>
    <w:p>
      <w:pPr>
        <w:spacing w:after="280"/>
      </w:pPr>
    </w:p>
    <w:p>
      <w:pPr>
        <w:spacing w:before="320" w:after="120"/>
      </w:pPr>
      <w:r>
        <w:rPr>
          <w:rFonts w:ascii="Arial" w:hAnsi="Arial"/>
          <w:b/>
          <w:color w:val="071426"/>
          <w:sz w:val="28"/>
        </w:rPr>
        <w:t>5. SIH PROBLEM STATEMENT 26016 COMPLIANCE VERIFICATION</w:t>
      </w:r>
    </w:p>
    <w:p>
      <w:r>
        <w:rPr>
          <w:sz w:val="19"/>
        </w:rPr>
        <w:t>NLAMS directly addresses every single mandatory requirement outlined by the Ministry of Rural Development:</w:t>
        <w:br/>
      </w:r>
    </w:p>
    <w:p>
      <w:pPr>
        <w:pStyle w:val="ListBullet"/>
        <w:spacing w:after="80"/>
      </w:pPr>
      <w:r>
        <w:rPr>
          <w:b/>
          <w:color w:val="071426"/>
          <w:sz w:val="18"/>
        </w:rPr>
        <w:t xml:space="preserve">End-to-End Digital Workflow: </w:t>
      </w:r>
      <w:r>
        <w:rPr>
          <w:color w:val="475569"/>
          <w:sz w:val="18"/>
        </w:rPr>
        <w:t>Standardized 9-stage statutory pipeline from proposal scrutiny to final physical possession.</w:t>
      </w:r>
    </w:p>
    <w:p>
      <w:pPr>
        <w:pStyle w:val="ListBullet"/>
        <w:spacing w:after="80"/>
      </w:pPr>
      <w:r>
        <w:rPr>
          <w:b/>
          <w:color w:val="071426"/>
          <w:sz w:val="18"/>
        </w:rPr>
        <w:t xml:space="preserve">GIS Cadastral Spatial Fusion: </w:t>
      </w:r>
      <w:r>
        <w:rPr>
          <w:color w:val="475569"/>
          <w:sz w:val="18"/>
        </w:rPr>
        <w:t>Vector Right-of-Way (RoW) overlays with village parcel polygons and color-coded status.</w:t>
      </w:r>
    </w:p>
    <w:p>
      <w:pPr>
        <w:pStyle w:val="ListBullet"/>
        <w:spacing w:after="80"/>
      </w:pPr>
      <w:r>
        <w:rPr>
          <w:b/>
          <w:color w:val="071426"/>
          <w:sz w:val="18"/>
        </w:rPr>
        <w:t xml:space="preserve">Real-Time 15 National Parameters: </w:t>
      </w:r>
      <w:r>
        <w:rPr>
          <w:color w:val="475569"/>
          <w:sz w:val="18"/>
        </w:rPr>
        <w:t>Acreage, awards declared, DBT disbursed, possession %, displaced families, and timeline adherence.</w:t>
      </w:r>
    </w:p>
    <w:p>
      <w:pPr>
        <w:pStyle w:val="ListBullet"/>
        <w:spacing w:after="80"/>
      </w:pPr>
      <w:r>
        <w:rPr>
          <w:b/>
          <w:color w:val="071426"/>
          <w:sz w:val="18"/>
        </w:rPr>
        <w:t xml:space="preserve">Bhu-Aadhaar (ULPIN) Integration: </w:t>
      </w:r>
      <w:r>
        <w:rPr>
          <w:color w:val="475569"/>
          <w:sz w:val="18"/>
        </w:rPr>
        <w:t>Prevents fraudulent parallel property transactions through automated registry encumbrance locks.</w:t>
      </w:r>
    </w:p>
    <w:p>
      <w:pPr>
        <w:pStyle w:val="ListBullet"/>
        <w:spacing w:after="80"/>
      </w:pPr>
      <w:r>
        <w:rPr>
          <w:b/>
          <w:color w:val="071426"/>
          <w:sz w:val="18"/>
        </w:rPr>
        <w:t xml:space="preserve">Mobile Field Survey Interface: </w:t>
      </w:r>
      <w:r>
        <w:rPr>
          <w:color w:val="475569"/>
          <w:sz w:val="18"/>
        </w:rPr>
        <w:t>Flutter application enabling GPS geo-tagging, offline caching, and asset documentation.</w:t>
      </w:r>
    </w:p>
    <w:p>
      <w:pPr>
        <w:pStyle w:val="ListBullet"/>
        <w:spacing w:after="80"/>
      </w:pPr>
      <w:r>
        <w:rPr>
          <w:b/>
          <w:color w:val="071426"/>
          <w:sz w:val="18"/>
        </w:rPr>
        <w:t xml:space="preserve">AI Decision-Support System: </w:t>
      </w:r>
      <w:r>
        <w:rPr>
          <w:color w:val="475569"/>
          <w:sz w:val="18"/>
        </w:rPr>
        <w:t>Predictive delay forecasting using stage dwell metrics and prescriptive mitigation interventions.</w:t>
      </w:r>
    </w:p>
    <w:p>
      <w:pPr>
        <w:spacing w:after="400"/>
      </w:pPr>
    </w:p>
    <w:p>
      <w:pPr>
        <w:jc w:val="center"/>
      </w:pPr>
      <w:r>
        <w:rPr>
          <w:i/>
          <w:color w:val="475569"/>
          <w:sz w:val="17"/>
        </w:rPr>
        <w:t>— END OF TECHNICAL SPECIFICATIONS DOCUMENT —</w:t>
        <w:br/>
        <w:t>National Land Acquisition &amp; Management System (NLAMS) • Ministry of Rural Development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