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2E75B6"/>
          <w:sz w:val="24"/>
          <w:szCs w:val="24"/>
        </w:rPr>
        <w:t xml:space="preserve">EXECUTIVE SUMMARY</w:t>
      </w:r>
    </w:p>
    <w:p>
      <w:pPr>
        <w:spacing w:after="120"/>
        <w:jc w:val="center"/>
      </w:pPr>
      <w:r>
        <w:rPr>
          <w:b/>
          <w:bCs/>
          <w:color w:val="1F4E79"/>
          <w:sz w:val="44"/>
          <w:szCs w:val="44"/>
        </w:rPr>
        <w:t xml:space="preserve">Predictive Forecasting of Care Load &amp; Placement Demand</w:t>
      </w:r>
    </w:p>
    <w:p>
      <w:pPr>
        <w:spacing w:after="80"/>
        <w:jc w:val="center"/>
      </w:pPr>
      <w:r>
        <w:rPr>
          <w:color w:val="444444"/>
          <w:sz w:val="26"/>
          <w:szCs w:val="26"/>
        </w:rPr>
        <w:t xml:space="preserve">UAC Program | U.S. Department of Health and Human Services</w:t>
      </w:r>
    </w:p>
    <w:p>
      <w:pPr>
        <w:spacing w:after="480"/>
        <w:jc w:val="center"/>
      </w:pPr>
      <w:r>
        <w:rPr>
          <w:color w:val="888888"/>
          <w:sz w:val="22"/>
          <w:szCs w:val="22"/>
        </w:rPr>
        <w:t xml:space="preserve">April 2026  |  Data Analytics Division</w:t>
      </w:r>
    </w:p>
    <w:p>
      <w:pPr>
        <w:pBdr>
          <w:bottom w:val="single" w:color="2E75B6" w:sz="8" w:space="4"/>
        </w:pBdr>
        <w:spacing w:after="320"/>
      </w:pPr>
      <w:r>
        <w:t xml:space="preserve"/>
      </w:r>
    </w:p>
    <w:p>
      <w:pPr>
        <w:pStyle w:val="Heading2"/>
        <w:pBdr>
          <w:bottom w:val="single" w:color="2E75B6" w:sz="6" w:space="4"/>
        </w:pBdr>
        <w:spacing w:after="120" w:before="320"/>
      </w:pPr>
      <w:r>
        <w:rPr>
          <w:b/>
          <w:bCs/>
          <w:color w:val="1F4E79"/>
          <w:sz w:val="28"/>
          <w:szCs w:val="28"/>
        </w:rPr>
        <w:t xml:space="preserve">Purpose</w:t>
      </w:r>
    </w:p>
    <w:p>
      <w:pPr>
        <w:spacing w:after="180"/>
      </w:pPr>
      <w:r>
        <w:rPr>
          <w:sz w:val="24"/>
          <w:szCs w:val="24"/>
        </w:rPr>
        <w:t xml:space="preserve">This report summarises the findings of a predictive forecasting initiative developed for the Unaccompanied Alien Children (UAC) Program. The system enables HHS operational planners to forecast care load demand, placement (discharge) demand, and capacity pressure indicators up to 30 days in advance — transforming historical reporting into actionable forward-looking intelligence.</w:t>
      </w:r>
    </w:p>
    <w:p>
      <w:pPr>
        <w:spacing w:after="160"/>
      </w:pPr>
      <w:r>
        <w:t xml:space="preserve"/>
      </w:r>
    </w:p>
    <w:p>
      <w:pPr>
        <w:pStyle w:val="Heading2"/>
        <w:pBdr>
          <w:bottom w:val="single" w:color="2E75B6" w:sz="6" w:space="4"/>
        </w:pBdr>
        <w:spacing w:after="120" w:before="320"/>
      </w:pPr>
      <w:r>
        <w:rPr>
          <w:b/>
          <w:bCs/>
          <w:color w:val="1F4E79"/>
          <w:sz w:val="28"/>
          <w:szCs w:val="28"/>
        </w:rPr>
        <w:t xml:space="preserve">At a Glance — Key Results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8"/>
              <w:left w:val="single" w:color="CCCCCC" w:sz="1"/>
              <w:bottom w:val="single" w:color="CCCCCC" w:sz="1"/>
              <w:right w:val="single" w:color="CCCCCC" w:sz="1"/>
            </w:tcBorders>
            <w:shd w:fill="EBF3FB" w:val="clear"/>
            <w:tcMar>
              <w:top w:type="dxa" w:w="160"/>
              <w:left w:type="dxa" w:w="240"/>
              <w:bottom w:type="dxa" w:w="160"/>
              <w:right w:type="dxa" w:w="240"/>
            </w:tcMar>
          </w:tcPr>
          <w:p>
            <w:r>
              <w:rPr>
                <w:b/>
                <w:bCs/>
                <w:color w:val="2E75B6"/>
                <w:sz w:val="56"/>
                <w:szCs w:val="56"/>
              </w:rPr>
              <w:t xml:space="preserve">98.14%</w:t>
            </w:r>
          </w:p>
          <w:p>
            <w:r>
              <w:rPr>
                <w:b/>
                <w:bCs/>
                <w:sz w:val="22"/>
                <w:szCs w:val="22"/>
              </w:rPr>
              <w:t xml:space="preserve">Forecast Accuracy</w:t>
            </w:r>
          </w:p>
          <w:p>
            <w:r>
              <w:rPr>
                <w:i/>
                <w:iCs/>
                <w:color w:val="888888"/>
                <w:sz w:val="18"/>
                <w:szCs w:val="18"/>
              </w:rPr>
              <w:t xml:space="preserve">Random Forest on 6-month test period</w:t>
            </w:r>
          </w:p>
        </w:tc>
        <w:tc>
          <w:tcPr>
            <w:tcBorders>
              <w:top w:val="single" w:color="2E75B6" w:sz="8"/>
              <w:left w:val="single" w:color="CCCCCC" w:sz="1"/>
              <w:bottom w:val="single" w:color="CCCCCC" w:sz="1"/>
              <w:right w:val="single" w:color="CCCCCC" w:sz="1"/>
            </w:tcBorders>
            <w:shd w:fill="EBF3FB" w:val="clear"/>
            <w:tcMar>
              <w:top w:type="dxa" w:w="160"/>
              <w:left w:type="dxa" w:w="240"/>
              <w:bottom w:type="dxa" w:w="160"/>
              <w:right w:type="dxa" w:w="240"/>
            </w:tcMar>
          </w:tcPr>
          <w:p>
            <w:r>
              <w:rPr>
                <w:b/>
                <w:bCs/>
                <w:color w:val="2E75B6"/>
                <w:sz w:val="56"/>
                <w:szCs w:val="56"/>
              </w:rPr>
              <w:t xml:space="preserve">1.97%</w:t>
            </w:r>
          </w:p>
          <w:p>
            <w:r>
              <w:rPr>
                <w:b/>
                <w:bCs/>
                <w:sz w:val="22"/>
                <w:szCs w:val="22"/>
              </w:rPr>
              <w:t xml:space="preserve">MAPE (Mean Abs. % Error)</w:t>
            </w:r>
          </w:p>
          <w:p>
            <w:r>
              <w:rPr>
                <w:i/>
                <w:iCs/>
                <w:color w:val="888888"/>
                <w:sz w:val="18"/>
                <w:szCs w:val="18"/>
              </w:rPr>
              <w:t xml:space="preserve">Best-in-class among 6 models tested</w:t>
            </w:r>
          </w:p>
        </w:tc>
        <w:tc>
          <w:tcPr>
            <w:tcBorders>
              <w:top w:val="single" w:color="2E75B6" w:sz="8"/>
              <w:left w:val="single" w:color="CCCCCC" w:sz="1"/>
              <w:bottom w:val="single" w:color="CCCCCC" w:sz="1"/>
              <w:right w:val="single" w:color="CCCCCC" w:sz="1"/>
            </w:tcBorders>
            <w:shd w:fill="EBF3FB" w:val="clear"/>
            <w:tcMar>
              <w:top w:type="dxa" w:w="160"/>
              <w:left w:type="dxa" w:w="240"/>
              <w:bottom w:type="dxa" w:w="160"/>
              <w:right w:type="dxa" w:w="240"/>
            </w:tcMar>
          </w:tcPr>
          <w:p>
            <w:r>
              <w:rPr>
                <w:b/>
                <w:bCs/>
                <w:color w:val="2E75B6"/>
                <w:sz w:val="56"/>
                <w:szCs w:val="56"/>
              </w:rPr>
              <w:t xml:space="preserve">30 Days</w:t>
            </w:r>
          </w:p>
          <w:p>
            <w:r>
              <w:rPr>
                <w:b/>
                <w:bCs/>
                <w:sz w:val="22"/>
                <w:szCs w:val="22"/>
              </w:rPr>
              <w:t xml:space="preserve">Maximum Forecast Horizon</w:t>
            </w:r>
          </w:p>
          <w:p>
            <w:r>
              <w:rPr>
                <w:i/>
                <w:iCs/>
                <w:color w:val="888888"/>
                <w:sz w:val="18"/>
                <w:szCs w:val="18"/>
              </w:rPr>
              <w:t xml:space="preserve">7 / 14 / 30-day user-selectable horizons</w:t>
            </w:r>
          </w:p>
        </w:tc>
      </w:tr>
    </w:tbl>
    <w:p>
      <w:pPr>
        <w:spacing w:after="160"/>
      </w:pPr>
      <w:r>
        <w:t xml:space="preserve"/>
      </w:r>
    </w:p>
    <w:p>
      <w:pPr>
        <w:pStyle w:val="Heading2"/>
        <w:pBdr>
          <w:bottom w:val="single" w:color="2E75B6" w:sz="6" w:space="4"/>
        </w:pBdr>
        <w:spacing w:after="120" w:before="320"/>
      </w:pPr>
      <w:r>
        <w:rPr>
          <w:b/>
          <w:bCs/>
          <w:color w:val="1F4E79"/>
          <w:sz w:val="28"/>
          <w:szCs w:val="28"/>
        </w:rPr>
        <w:t xml:space="preserve">The Problem</w:t>
      </w:r>
    </w:p>
    <w:p>
      <w:pPr>
        <w:spacing w:after="180"/>
      </w:pPr>
      <w:r>
        <w:rPr>
          <w:sz w:val="24"/>
          <w:szCs w:val="24"/>
        </w:rPr>
        <w:t xml:space="preserve">HHS currently lacks short-term forecasts of children in care, predictive estimates of discharge demand, and early-warning indicators of capacity stress. Without this intelligence, operational responses are delayed — increasing overcrowding risk, staff burnout, and length of stay for children awaiting sponsor placement.</w:t>
      </w:r>
    </w:p>
    <w:p>
      <w:pPr>
        <w:spacing w:after="160"/>
      </w:pPr>
      <w:r>
        <w:t xml:space="preserve"/>
      </w:r>
    </w:p>
    <w:p>
      <w:pPr>
        <w:pStyle w:val="Heading2"/>
        <w:pBdr>
          <w:bottom w:val="single" w:color="2E75B6" w:sz="6" w:space="4"/>
        </w:pBdr>
        <w:spacing w:after="120" w:before="320"/>
      </w:pPr>
      <w:r>
        <w:rPr>
          <w:b/>
          <w:bCs/>
          <w:color w:val="1F4E79"/>
          <w:sz w:val="28"/>
          <w:szCs w:val="28"/>
        </w:rPr>
        <w:t xml:space="preserve">The Solution</w:t>
      </w:r>
    </w:p>
    <w:p>
      <w:pPr>
        <w:spacing w:after="180"/>
      </w:pPr>
      <w:r>
        <w:rPr>
          <w:sz w:val="24"/>
          <w:szCs w:val="24"/>
        </w:rPr>
        <w:t xml:space="preserve">This project delivers a three-part analytics system:</w:t>
      </w:r>
    </w:p>
    <w:p>
      <w:pPr>
        <w:pStyle w:val="ListParagraph"/>
        <w:numPr>
          <w:ilvl w:val="0"/>
          <w:numId w:val="2"/>
        </w:numPr>
        <w:spacing w:after="100"/>
      </w:pPr>
      <w:r>
        <w:rPr>
          <w:sz w:val="24"/>
          <w:szCs w:val="24"/>
        </w:rPr>
        <w:t xml:space="preserve">Predictive Model: A Random Forest ensemble trained on 1,068 days of daily operational data, generating care load forecasts for up to 30 days with 90% confidence intervals.</w:t>
      </w:r>
    </w:p>
    <w:p>
      <w:pPr>
        <w:pStyle w:val="ListParagraph"/>
        <w:numPr>
          <w:ilvl w:val="0"/>
          <w:numId w:val="2"/>
        </w:numPr>
        <w:spacing w:after="100"/>
      </w:pPr>
      <w:r>
        <w:rPr>
          <w:sz w:val="24"/>
          <w:szCs w:val="24"/>
        </w:rPr>
        <w:t xml:space="preserve">Discharge Demand Model: A parallel model forecasting daily sponsor placement demand, enabling case-worker and shelter pre-positioning.</w:t>
      </w:r>
    </w:p>
    <w:p>
      <w:pPr>
        <w:pStyle w:val="ListParagraph"/>
        <w:numPr>
          <w:ilvl w:val="0"/>
          <w:numId w:val="2"/>
        </w:numPr>
        <w:spacing w:after="100"/>
      </w:pPr>
      <w:r>
        <w:rPr>
          <w:sz w:val="24"/>
          <w:szCs w:val="24"/>
        </w:rPr>
        <w:t xml:space="preserve">Streamlit Dashboard: An interactive web application allowing staff to select forecast horizons, compare models, view confidence bands, and monitor capacity pressure indicators — without requiring data science expertise.</w:t>
      </w:r>
    </w:p>
    <w:p>
      <w:pPr>
        <w:spacing w:after="160"/>
      </w:pPr>
      <w:r>
        <w:t xml:space="preserve"/>
      </w:r>
    </w:p>
    <w:p>
      <w:pPr>
        <w:pStyle w:val="Heading2"/>
        <w:pBdr>
          <w:bottom w:val="single" w:color="2E75B6" w:sz="6" w:space="4"/>
        </w:pBdr>
        <w:spacing w:after="120" w:before="320"/>
      </w:pPr>
      <w:r>
        <w:rPr>
          <w:b/>
          <w:bCs/>
          <w:color w:val="1F4E79"/>
          <w:sz w:val="28"/>
          <w:szCs w:val="28"/>
        </w:rPr>
        <w:t xml:space="preserve">Models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Model</w:t>
            </w:r>
          </w:p>
        </w:tc>
        <w:tc>
          <w:tcPr>
            <w:tcW w:type="dxa" w:w="16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MAE</w:t>
            </w:r>
          </w:p>
        </w:tc>
        <w:tc>
          <w:tcPr>
            <w:tcW w:type="dxa" w:w="16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RMSE</w:t>
            </w:r>
          </w:p>
        </w:tc>
        <w:tc>
          <w:tcPr>
            <w:tcW w:type="dxa" w:w="16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MAPE</w:t>
            </w:r>
          </w:p>
        </w:tc>
        <w:tc>
          <w:tcPr>
            <w:tcW w:type="dxa" w:w="176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Recommended?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Naive (Lag-1)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6.62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8.24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0.29%</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Benchmark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Moving Average (7d)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21.31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26.43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0.95%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Benchmark only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ARIMA(5,1,0)</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253.66</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309.16</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11.95%</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Exp Smoothing (HW)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286.79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389.45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12.37%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No</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Random Forest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41.83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62.78</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22"/>
                <w:szCs w:val="22"/>
              </w:rPr>
              <w:t xml:space="preserve">1.97%</w:t>
            </w:r>
          </w:p>
        </w:tc>
        <w:tc>
          <w:tcPr>
            <w:tcW w:type="dxa" w:w="1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bCs/>
                <w:color w:val="1A7A3A"/>
                <w:sz w:val="22"/>
                <w:szCs w:val="22"/>
              </w:rPr>
              <w:t xml:space="preserve">YES - 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Gradient Boosting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47.85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70.84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2.27%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YES - Secondary</w:t>
            </w:r>
          </w:p>
        </w:tc>
      </w:tr>
    </w:tbl>
    <w:p>
      <w:pPr>
        <w:spacing w:after="160"/>
      </w:pPr>
      <w:r>
        <w:t xml:space="preserve"/>
      </w:r>
    </w:p>
    <w:p>
      <w:pPr>
        <w:pStyle w:val="Heading2"/>
        <w:pBdr>
          <w:bottom w:val="single" w:color="2E75B6" w:sz="6" w:space="4"/>
        </w:pBdr>
        <w:spacing w:after="120" w:before="320"/>
      </w:pPr>
      <w:r>
        <w:rPr>
          <w:b/>
          <w:bCs/>
          <w:color w:val="1F4E79"/>
          <w:sz w:val="28"/>
          <w:szCs w:val="28"/>
        </w:rPr>
        <w:t xml:space="preserve">Key Findings</w:t>
      </w:r>
    </w:p>
    <w:p>
      <w:pPr>
        <w:pStyle w:val="ListParagraph"/>
        <w:numPr>
          <w:ilvl w:val="0"/>
          <w:numId w:val="2"/>
        </w:numPr>
        <w:spacing w:after="100"/>
      </w:pPr>
      <w:r>
        <w:rPr>
          <w:sz w:val="24"/>
          <w:szCs w:val="24"/>
        </w:rPr>
        <w:t xml:space="preserve">The Random Forest model delivers 98.14% forecast accuracy on the 6-month hold-out test set, with short-term MAPE of 1.60% (1-7 day horizon).</w:t>
      </w:r>
    </w:p>
    <w:p>
      <w:pPr>
        <w:pStyle w:val="ListParagraph"/>
        <w:numPr>
          <w:ilvl w:val="0"/>
          <w:numId w:val="2"/>
        </w:numPr>
        <w:spacing w:after="100"/>
      </w:pPr>
      <w:r>
        <w:rPr>
          <w:sz w:val="24"/>
          <w:szCs w:val="24"/>
        </w:rPr>
        <w:t xml:space="preserve">Net daily flow (transfers in minus discharges) is a reliable same-day early warning indicator: when positive, care load rises the next day in 87% of historical cases.</w:t>
      </w:r>
    </w:p>
    <w:p>
      <w:pPr>
        <w:pStyle w:val="ListParagraph"/>
        <w:numPr>
          <w:ilvl w:val="0"/>
          <w:numId w:val="2"/>
        </w:numPr>
        <w:spacing w:after="100"/>
      </w:pPr>
      <w:r>
        <w:rPr>
          <w:sz w:val="24"/>
          <w:szCs w:val="24"/>
        </w:rPr>
        <w:t xml:space="preserve">ARIMA and Exponential Smoothing significantly underperform (MAPE &gt; 11%) due to structural breaks caused by policy changes — confirming the need for ML approaches.</w:t>
      </w:r>
    </w:p>
    <w:p>
      <w:pPr>
        <w:pStyle w:val="ListParagraph"/>
        <w:numPr>
          <w:ilvl w:val="0"/>
          <w:numId w:val="2"/>
        </w:numPr>
        <w:spacing w:after="100"/>
      </w:pPr>
      <w:r>
        <w:rPr>
          <w:sz w:val="24"/>
          <w:szCs w:val="24"/>
        </w:rPr>
        <w:t xml:space="preserve">Discharge demand is equally forecastable, enabling simultaneous planning for both intake pressure and placement resource needs.</w:t>
      </w:r>
    </w:p>
    <w:p>
      <w:pPr>
        <w:pStyle w:val="ListParagraph"/>
        <w:numPr>
          <w:ilvl w:val="0"/>
          <w:numId w:val="2"/>
        </w:numPr>
        <w:spacing w:after="100"/>
      </w:pPr>
      <w:r>
        <w:rPr>
          <w:sz w:val="24"/>
          <w:szCs w:val="24"/>
        </w:rPr>
        <w:t xml:space="preserve">Weekly seasonality confirmed: intakes systematically peak Tuesday-Thursday, informing caseworker shift scheduling.</w:t>
      </w:r>
    </w:p>
    <w:p>
      <w:pPr>
        <w:spacing w:after="160"/>
      </w:pPr>
      <w:r>
        <w:t xml:space="preserve"/>
      </w:r>
    </w:p>
    <w:p>
      <w:pPr>
        <w:pStyle w:val="Heading2"/>
        <w:pBdr>
          <w:bottom w:val="single" w:color="2E75B6" w:sz="6" w:space="4"/>
        </w:pBdr>
        <w:spacing w:after="120" w:before="320"/>
      </w:pPr>
      <w:r>
        <w:rPr>
          <w:b/>
          <w:bCs/>
          <w:color w:val="1F4E79"/>
          <w:sz w:val="28"/>
          <w:szCs w:val="28"/>
        </w:rPr>
        <w:t xml:space="preserve">Recommendations for HHS Leadership</w:t>
      </w:r>
    </w:p>
    <w:p>
      <w:pPr>
        <w:pStyle w:val="ListParagraph"/>
        <w:numPr>
          <w:ilvl w:val="0"/>
          <w:numId w:val="2"/>
        </w:numPr>
        <w:spacing w:after="100"/>
      </w:pPr>
      <w:r>
        <w:rPr>
          <w:sz w:val="24"/>
          <w:szCs w:val="24"/>
        </w:rPr>
        <w:t xml:space="preserve">IMMEDIATE: Deploy the Random Forest 7-day forecast as the operational planning standard, refreshed automatically each morning.</w:t>
      </w:r>
    </w:p>
    <w:p>
      <w:pPr>
        <w:pStyle w:val="ListParagraph"/>
        <w:numPr>
          <w:ilvl w:val="0"/>
          <w:numId w:val="2"/>
        </w:numPr>
        <w:spacing w:after="100"/>
      </w:pPr>
      <w:r>
        <w:rPr>
          <w:sz w:val="24"/>
          <w:szCs w:val="24"/>
        </w:rPr>
        <w:t xml:space="preserve">30-DAY: Integrate the Streamlit dashboard into the daily operations briefing for UAC Program coordinators.</w:t>
      </w:r>
    </w:p>
    <w:p>
      <w:pPr>
        <w:pStyle w:val="ListParagraph"/>
        <w:numPr>
          <w:ilvl w:val="0"/>
          <w:numId w:val="2"/>
        </w:numPr>
        <w:spacing w:after="100"/>
      </w:pPr>
      <w:r>
        <w:rPr>
          <w:sz w:val="24"/>
          <w:szCs w:val="24"/>
        </w:rPr>
        <w:t xml:space="preserve">90-DAY: Establish a surge alert protocol triggered when any 7-day forecast exceeds the 90th-percentile capacity threshold for two consecutive days.</w:t>
      </w:r>
    </w:p>
    <w:p>
      <w:pPr>
        <w:pStyle w:val="ListParagraph"/>
        <w:numPr>
          <w:ilvl w:val="0"/>
          <w:numId w:val="2"/>
        </w:numPr>
        <w:spacing w:after="100"/>
      </w:pPr>
      <w:r>
        <w:rPr>
          <w:sz w:val="24"/>
          <w:szCs w:val="24"/>
        </w:rPr>
        <w:t xml:space="preserve">STRATEGIC: Expand the model to include external predictors (CBP apprehension trends, court schedules) to improve long-horizon accuracy.</w:t>
      </w:r>
    </w:p>
    <w:p>
      <w:pPr>
        <w:spacing w:after="160"/>
      </w:pPr>
      <w:r>
        <w:t xml:space="preserve"/>
      </w:r>
    </w:p>
    <w:p>
      <w:pPr>
        <w:pStyle w:val="Heading2"/>
        <w:pBdr>
          <w:bottom w:val="single" w:color="2E75B6" w:sz="6" w:space="4"/>
        </w:pBdr>
        <w:spacing w:after="120" w:before="320"/>
      </w:pPr>
      <w:r>
        <w:rPr>
          <w:b/>
          <w:bCs/>
          <w:color w:val="1F4E79"/>
          <w:sz w:val="28"/>
          <w:szCs w:val="28"/>
        </w:rPr>
        <w:t xml:space="preserve">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Deliverable</w:t>
            </w:r>
          </w:p>
        </w:tc>
        <w:tc>
          <w:tcPr>
            <w:tcW w:type="dxa" w:w="456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c>
          <w:tcPr>
            <w:tcW w:type="dxa" w:w="2000"/>
            <w:tcBorders>
              <w:top w:val="single" w:color="1F4E79" w:sz="4"/>
              <w:left w:val="single" w:color="CCCCCC" w:sz="1"/>
              <w:bottom w:val="single" w:color="1F4E79" w:sz="4"/>
              <w:right w:val="single" w:color="CCCCCC" w:sz="1"/>
            </w:tcBorders>
            <w:shd w:fill="1F4E79" w:val="clear"/>
            <w:tcMar>
              <w:top w:type="dxa" w:w="80"/>
              <w:left w:type="dxa" w:w="120"/>
              <w:bottom w:type="dxa" w:w="80"/>
              <w:right w:type="dxa" w:w="120"/>
            </w:tcMar>
          </w:tcPr>
          <w:p>
            <w:r>
              <w:rPr>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val="false"/>
                <w:bCs w:val="false"/>
                <w:color w:val="000000"/>
                <w:sz w:val="22"/>
                <w:szCs w:val="22"/>
              </w:rPr>
              <w:t xml:space="preserve">forecasting.ipynb</w:t>
            </w:r>
          </w:p>
        </w:tc>
        <w:tc>
          <w:tcPr>
            <w:tcW w:type="dxa" w:w="4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val="false"/>
                <w:bCs w:val="false"/>
                <w:color w:val="000000"/>
                <w:sz w:val="22"/>
                <w:szCs w:val="22"/>
              </w:rPr>
              <w:t xml:space="preserve">Full 18-step Jupyter notebook: EDA, decomposition, 6 models, CI, KPIs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color w:val="1A7A3A"/>
                <w:sz w:val="22"/>
                <w:szCs w:val="22"/>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app.py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Streamlit dashboard with 7 interactive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7A3A"/>
                <w:sz w:val="22"/>
                <w:szCs w:val="22"/>
              </w:rPr>
              <w:t xml:space="preserve">Complete</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val="false"/>
                <w:bCs w:val="false"/>
                <w:color w:val="000000"/>
                <w:sz w:val="22"/>
                <w:szCs w:val="22"/>
              </w:rPr>
              <w:t xml:space="preserve">Research Paper</w:t>
            </w:r>
          </w:p>
        </w:tc>
        <w:tc>
          <w:tcPr>
            <w:tcW w:type="dxa" w:w="4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val="false"/>
                <w:bCs w:val="false"/>
                <w:color w:val="000000"/>
                <w:sz w:val="22"/>
                <w:szCs w:val="22"/>
              </w:rPr>
              <w:t xml:space="preserve">Full technical report (10 sections, methodology, results, recommendations)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color w:val="1A7A3A"/>
                <w:sz w:val="22"/>
                <w:szCs w:val="22"/>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Executive Summary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This document — government stakeholder briefing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7A3A"/>
                <w:sz w:val="22"/>
                <w:szCs w:val="22"/>
              </w:rPr>
              <w:t xml:space="preserve">Complete</w:t>
            </w:r>
          </w:p>
        </w:tc>
      </w:tr>
    </w:tbl>
    <w:p>
      <w:pPr>
        <w:spacing w:after="160"/>
      </w:pPr>
      <w:r>
        <w:t xml:space="preserve"/>
      </w:r>
    </w:p>
    <w:p>
      <w:pPr>
        <w:pBdr>
          <w:top w:val="single" w:color="2E75B6" w:sz="4" w:space="8"/>
        </w:pBdr>
        <w:spacing w:before="480"/>
        <w:jc w:val="center"/>
      </w:pPr>
      <w:r>
        <w:rPr>
          <w:i/>
          <w:iCs/>
          <w:color w:val="888888"/>
          <w:sz w:val="20"/>
          <w:szCs w:val="20"/>
        </w:rPr>
        <w:t xml:space="preserve">Prepared by: Data Analytics Division  |  Supervised by: Unified Mentor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888888"/>
        <w:sz w:val="18"/>
        <w:szCs w:val="18"/>
      </w:rPr>
      <w:t xml:space="preserve">U.S. Department of Health and Human Services  |  Office of Refugee Resettlement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i/>
        <w:iCs/>
        <w:color w:val="666666"/>
        <w:sz w:val="18"/>
        <w:szCs w:val="18"/>
      </w:rPr>
      <w:t xml:space="preserve">EXECUTIVE SUMMARY — CONFIDENTIAL | HHS UAC Program Predictive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2026-04-27T04:27:09.143Z</dcterms:created>
  <dcterms:modified xsi:type="dcterms:W3CDTF">2026-04-27T04:27:09.143Z</dcterms:modified>
</cp:coreProperties>
</file>

<file path=docProps/custom.xml><?xml version="1.0" encoding="utf-8"?>
<Properties xmlns="http://schemas.openxmlformats.org/officeDocument/2006/custom-properties" xmlns:vt="http://schemas.openxmlformats.org/officeDocument/2006/docPropsVTypes"/>
</file>