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b/>
          <w:bCs/>
          <w:color w:val="2E75B6"/>
          <w:sz w:val="24"/>
          <w:szCs w:val="24"/>
        </w:rPr>
        <w:t xml:space="preserve">RESEARCH REPORT</w:t>
      </w:r>
    </w:p>
    <w:p>
      <w:pPr>
        <w:spacing w:after="240"/>
        <w:jc w:val="center"/>
      </w:pPr>
      <w:r>
        <w:rPr>
          <w:b/>
          <w:bCs/>
          <w:color w:val="1F4E79"/>
          <w:sz w:val="48"/>
          <w:szCs w:val="48"/>
        </w:rPr>
        <w:t xml:space="preserve">Predictive Forecasting of Care Load</w:t>
      </w:r>
    </w:p>
    <w:p>
      <w:pPr>
        <w:spacing w:after="240"/>
        <w:jc w:val="center"/>
      </w:pPr>
      <w:r>
        <w:rPr>
          <w:b/>
          <w:bCs/>
          <w:color w:val="1F4E79"/>
          <w:sz w:val="48"/>
          <w:szCs w:val="48"/>
        </w:rPr>
        <w:t xml:space="preserve">&amp; Placement Demand</w:t>
      </w:r>
    </w:p>
    <w:p>
      <w:pPr>
        <w:spacing w:after="480"/>
        <w:jc w:val="center"/>
      </w:pPr>
      <w:r>
        <w:rPr>
          <w:color w:val="444444"/>
          <w:sz w:val="26"/>
          <w:szCs w:val="26"/>
        </w:rPr>
        <w:t xml:space="preserve">U.S. Department of Health and Human Services | UAC Program</w:t>
      </w:r>
    </w:p>
    <w:p>
      <w:pPr>
        <w:spacing w:after="1440"/>
        <w:jc w:val="center"/>
      </w:pPr>
      <w:r>
        <w:rPr>
          <w:color w:val="888888"/>
          <w:sz w:val="24"/>
          <w:szCs w:val="24"/>
        </w:rPr>
        <w:t xml:space="preserve">April 2026</w:t>
      </w:r>
    </w:p>
    <w:p>
      <w:r>
        <w:br w:type="page"/>
      </w:r>
    </w:p>
    <w:p>
      <w:pPr>
        <w:pStyle w:val="Heading1"/>
      </w:pPr>
      <w:r>
        <w:rPr>
          <w:b/>
          <w:bCs/>
          <w:color w:val="1F4E79"/>
          <w:sz w:val="32"/>
          <w:szCs w:val="32"/>
        </w:rPr>
        <w:t xml:space="preserve">1. Abstract</w:t>
      </w:r>
    </w:p>
    <w:p>
      <w:pPr>
        <w:spacing w:after="160"/>
      </w:pPr>
      <w:r>
        <w:rPr>
          <w:sz w:val="24"/>
          <w:szCs w:val="24"/>
        </w:rPr>
        <w:t xml:space="preserve">This research report presents a comprehensive predictive forecasting system for the Unaccompanied Alien Children (UAC) Program administered by the U.S. Department of Health and Human Services (HHS). Using 1,068 days of daily operational data from January 2023 to December 2025, six forecasting models were developed, evaluated, and compared across multiple performance metrics including MAE, RMSE, and MAPE.</w:t>
      </w:r>
    </w:p>
    <w:p>
      <w:pPr>
        <w:spacing w:after="160"/>
      </w:pPr>
      <w:r>
        <w:rPr>
          <w:sz w:val="24"/>
          <w:szCs w:val="24"/>
        </w:rPr>
        <w:t xml:space="preserve">The Random Forest Regressor achieved an overall forecast accuracy of 98.14%, with a short-term MAE of 33.81 children — enabling HHS operational planners to anticipate care load surges up to 30 days in advance. The system also forecasts daily placement (discharge) demand and computes capacity pressure indicators, providing a complete early-warning intelligence layer for child-welfare decision-making.</w:t>
      </w:r>
    </w:p>
    <w:p>
      <w:pPr>
        <w:spacing w:after="160"/>
      </w:pPr>
      <w:r>
        <w:t xml:space="preserve"/>
      </w:r>
    </w:p>
    <w:p>
      <w:pPr>
        <w:pStyle w:val="Heading1"/>
      </w:pPr>
      <w:r>
        <w:rPr>
          <w:b/>
          <w:bCs/>
          <w:color w:val="1F4E79"/>
          <w:sz w:val="32"/>
          <w:szCs w:val="32"/>
        </w:rPr>
        <w:t xml:space="preserve">2. Background and Context</w:t>
      </w:r>
    </w:p>
    <w:p>
      <w:pPr>
        <w:spacing w:after="160"/>
      </w:pPr>
      <w:r>
        <w:rPr>
          <w:sz w:val="24"/>
          <w:szCs w:val="24"/>
        </w:rPr>
        <w:t xml:space="preserve">The UAC Program operates in a high-uncertainty environment where sudden changes in border activity, policy enforcement, or humanitarian crises can rapidly increase the number of children entering federal care. Despite having access to high-quality daily time-series data, the program has historically relied on retrospective reporting rather than forward-looking predictive analytics.</w:t>
      </w:r>
    </w:p>
    <w:p>
      <w:pPr>
        <w:spacing w:after="160"/>
      </w:pPr>
      <w:r>
        <w:rPr>
          <w:sz w:val="24"/>
          <w:szCs w:val="24"/>
        </w:rPr>
        <w:t xml:space="preserve">HHS decision-makers require predictive intelligence to answer three core operational questions:</w:t>
      </w:r>
    </w:p>
    <w:p>
      <w:pPr>
        <w:pStyle w:val="ListParagraph"/>
        <w:numPr>
          <w:ilvl w:val="0"/>
          <w:numId w:val="2"/>
        </w:numPr>
        <w:spacing w:after="80"/>
      </w:pPr>
      <w:r>
        <w:rPr>
          <w:sz w:val="24"/>
          <w:szCs w:val="24"/>
        </w:rPr>
        <w:t xml:space="preserve">How many children will be under HHS care in the coming days or weeks?</w:t>
      </w:r>
    </w:p>
    <w:p>
      <w:pPr>
        <w:pStyle w:val="ListParagraph"/>
        <w:numPr>
          <w:ilvl w:val="0"/>
          <w:numId w:val="2"/>
        </w:numPr>
        <w:spacing w:after="80"/>
      </w:pPr>
      <w:r>
        <w:rPr>
          <w:sz w:val="24"/>
          <w:szCs w:val="24"/>
        </w:rPr>
        <w:t xml:space="preserve">Will discharge capacity be sufficient to offset incoming transfers?</w:t>
      </w:r>
    </w:p>
    <w:p>
      <w:pPr>
        <w:pStyle w:val="ListParagraph"/>
        <w:numPr>
          <w:ilvl w:val="0"/>
          <w:numId w:val="2"/>
        </w:numPr>
        <w:spacing w:after="80"/>
      </w:pPr>
      <w:r>
        <w:rPr>
          <w:sz w:val="24"/>
          <w:szCs w:val="24"/>
        </w:rPr>
        <w:t xml:space="preserve">When should shelters, medical staff, and caseworkers be scaled up in advance?</w:t>
      </w:r>
    </w:p>
    <w:p>
      <w:pPr>
        <w:spacing w:after="160"/>
      </w:pPr>
      <w:r>
        <w:rPr>
          <w:sz w:val="24"/>
          <w:szCs w:val="24"/>
        </w:rPr>
        <w:t xml:space="preserve">This project introduces machine learning and statistical forecasting to enable proactive, rather than reactive, healthcare and child-welfare planning.</w:t>
      </w:r>
    </w:p>
    <w:p>
      <w:pPr>
        <w:spacing w:after="160"/>
      </w:pPr>
      <w:r>
        <w:t xml:space="preserve"/>
      </w:r>
    </w:p>
    <w:p>
      <w:pPr>
        <w:pStyle w:val="Heading1"/>
      </w:pPr>
      <w:r>
        <w:rPr>
          <w:b/>
          <w:bCs/>
          <w:color w:val="1F4E79"/>
          <w:sz w:val="32"/>
          <w:szCs w:val="32"/>
        </w:rPr>
        <w:t xml:space="preserve">3. Problem Statement</w:t>
      </w:r>
    </w:p>
    <w:p>
      <w:pPr>
        <w:spacing w:after="160"/>
      </w:pPr>
      <w:r>
        <w:rPr>
          <w:sz w:val="24"/>
          <w:szCs w:val="24"/>
        </w:rPr>
        <w:t xml:space="preserve">Despite having high-quality daily time-series data, the UAC Program currently lacks short-term forecasts of children in HHS care, predictive estimates of discharge demand, and early-warning indicators of upcoming capacity stress. As a result, operational responses are often delayed, increasing overcrowding risk, staff burnout, and length of stay for children awaiting sponsor placement.</w:t>
      </w:r>
    </w:p>
    <w:p>
      <w:pPr>
        <w:spacing w:after="160"/>
      </w:pPr>
      <w:r>
        <w:t xml:space="preserve"/>
      </w:r>
    </w:p>
    <w:p>
      <w:pPr>
        <w:pStyle w:val="Heading1"/>
      </w:pPr>
      <w:r>
        <w:rPr>
          <w:b/>
          <w:bCs/>
          <w:color w:val="1F4E79"/>
          <w:sz w:val="32"/>
          <w:szCs w:val="32"/>
        </w:rPr>
        <w:t xml:space="preserve">4. Dataset Description</w:t>
      </w:r>
    </w:p>
    <w:p>
      <w:pPr>
        <w:spacing w:after="160"/>
      </w:pPr>
      <w:r>
        <w:rPr>
          <w:sz w:val="24"/>
          <w:szCs w:val="24"/>
        </w:rPr>
        <w:t xml:space="preserve">The dataset covers daily operational records from January 19, 2023 to December 21, 2025, comprising 1,068 observations after preprocessing. All missing calendar days were filled using linear interpolation.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Column</w:t>
            </w:r>
          </w:p>
        </w:tc>
        <w:tc>
          <w:tcPr>
            <w:tcW w:type="dxa" w:w="6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Date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Reporting date (daily frequency)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Children apprehended and placed in CBP custody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Daily intake volume into federal custody</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Children in CBP custody</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Active CBP care load at day-end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Children transferred out of CBP custody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Flow entering HHS system (key input)</w:t>
            </w:r>
          </w:p>
        </w:tc>
      </w:tr>
      <w:tr>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Children in HHS Care</w:t>
            </w:r>
          </w:p>
        </w:tc>
        <w:tc>
          <w:tcPr>
            <w:tcW w:type="dxa" w:w="6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Active HHS care load — primary forecast target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Children discharged from HHS Care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Successful sponsor placements — discharge demand target</w:t>
            </w:r>
          </w:p>
        </w:tc>
      </w:tr>
    </w:tbl>
    <w:p>
      <w:pPr>
        <w:spacing w:after="160"/>
      </w:pPr>
      <w:r>
        <w:t xml:space="preserve"/>
      </w:r>
    </w:p>
    <w:p>
      <w:r>
        <w:br w:type="page"/>
      </w:r>
    </w:p>
    <w:p>
      <w:pPr>
        <w:pStyle w:val="Heading1"/>
      </w:pPr>
      <w:r>
        <w:rPr>
          <w:b/>
          <w:bCs/>
          <w:color w:val="1F4E79"/>
          <w:sz w:val="32"/>
          <w:szCs w:val="32"/>
        </w:rPr>
        <w:t xml:space="preserve">5. Analytical Methodology</w:t>
      </w:r>
    </w:p>
    <w:p>
      <w:pPr>
        <w:pStyle w:val="Heading2"/>
      </w:pPr>
      <w:r>
        <w:rPr>
          <w:b/>
          <w:bCs/>
          <w:color w:val="2E75B6"/>
          <w:sz w:val="28"/>
          <w:szCs w:val="28"/>
        </w:rPr>
        <w:t xml:space="preserve">5.1 Time-Series Preparation</w:t>
      </w:r>
    </w:p>
    <w:p>
      <w:pPr>
        <w:spacing w:after="160"/>
      </w:pPr>
      <w:r>
        <w:rPr>
          <w:sz w:val="24"/>
          <w:szCs w:val="24"/>
        </w:rPr>
        <w:t xml:space="preserve">The Date column was parsed as a datetime index and sorted chronologically. A strict daily frequency was enforced using pandas asfreq('D'), and all missing days were filled via linear interpolation. The resulting series spans 1,068 continuous daily observations.</w:t>
      </w:r>
    </w:p>
    <w:p>
      <w:pPr>
        <w:spacing w:after="160"/>
      </w:pPr>
      <w:r>
        <w:rPr>
          <w:sz w:val="24"/>
          <w:szCs w:val="24"/>
        </w:rPr>
        <w:t xml:space="preserve">Seasonal decomposition (additive model, period=7 days) was applied to separate the time series into trend, weekly seasonality, and residual components — confirming a clear upward trend from 2023 to mid-2024 followed by stabilisation.</w:t>
      </w:r>
    </w:p>
    <w:p>
      <w:pPr>
        <w:spacing w:after="160"/>
      </w:pPr>
      <w:r>
        <w:t xml:space="preserve"/>
      </w:r>
    </w:p>
    <w:p>
      <w:pPr>
        <w:pStyle w:val="Heading2"/>
      </w:pPr>
      <w:r>
        <w:rPr>
          <w:b/>
          <w:bCs/>
          <w:color w:val="2E75B6"/>
          <w:sz w:val="28"/>
          <w:szCs w:val="28"/>
        </w:rPr>
        <w:t xml:space="preserve">5.2 Feature Engineering</w:t>
      </w:r>
    </w:p>
    <w:p>
      <w:pPr>
        <w:spacing w:after="160"/>
      </w:pPr>
      <w:r>
        <w:rPr>
          <w:sz w:val="24"/>
          <w:szCs w:val="24"/>
        </w:rPr>
        <w:t xml:space="preserve">The following predictive features were engineered from the raw time-series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Feature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Description</w:t>
            </w:r>
          </w:p>
        </w:tc>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Type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lag_1</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Previous day's HHS care count (t-1)</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lag_7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Care count 7 days prior (t-7)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Lag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lag_14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Care count 14 days prior (t-14)</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rolling_mean_7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7-day rolling average of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Rolling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rolling_std_7</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7-day rolling standard deviation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Rolling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rolling_mean_14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14-day rolling average of target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Rolling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rolling_std_14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14-day rolling standard deviation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Rolling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net_flow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Transfers in minus discharges (pressure signal)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Flow-Based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day_of_week</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Day of week (0=Monday ... 6=Sunday)</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Calendar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month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Month of year (1–12)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Calendar</w:t>
            </w:r>
          </w:p>
        </w:tc>
      </w:tr>
    </w:tbl>
    <w:p>
      <w:pPr>
        <w:spacing w:after="160"/>
      </w:pPr>
      <w:r>
        <w:t xml:space="preserve"/>
      </w:r>
    </w:p>
    <w:p>
      <w:pPr>
        <w:pStyle w:val="Heading2"/>
      </w:pPr>
      <w:r>
        <w:rPr>
          <w:b/>
          <w:bCs/>
          <w:color w:val="2E75B6"/>
          <w:sz w:val="28"/>
          <w:szCs w:val="28"/>
        </w:rPr>
        <w:t xml:space="preserve">5.3 Train–Test Split Strategy</w:t>
      </w:r>
    </w:p>
    <w:p>
      <w:pPr>
        <w:spacing w:after="160"/>
      </w:pPr>
      <w:r>
        <w:rPr>
          <w:sz w:val="24"/>
          <w:szCs w:val="24"/>
        </w:rPr>
        <w:t xml:space="preserve">A strict time-based split was applied: 80% of data used for training and 20% for testing. No random sampling was used to prevent data leakage. The training period spans January 2023 to approximately June 2025, and the test period covers July–December 2025.</w:t>
      </w:r>
    </w:p>
    <w:p>
      <w:pPr>
        <w:spacing w:after="160"/>
      </w:pPr>
      <w:r>
        <w:t xml:space="preserve"/>
      </w:r>
    </w:p>
    <w:p>
      <w:pPr>
        <w:pStyle w:val="Heading2"/>
      </w:pPr>
      <w:r>
        <w:rPr>
          <w:b/>
          <w:bCs/>
          <w:color w:val="2E75B6"/>
          <w:sz w:val="28"/>
          <w:szCs w:val="28"/>
        </w:rPr>
        <w:t xml:space="preserve">5.4 Forecasting Models</w:t>
      </w:r>
    </w:p>
    <w:p>
      <w:pPr>
        <w:spacing w:after="160"/>
      </w:pPr>
      <w:r>
        <w:rPr>
          <w:sz w:val="24"/>
          <w:szCs w:val="24"/>
        </w:rPr>
        <w:t xml:space="preserve">Six models were implemented across three categories:</w:t>
      </w:r>
    </w:p>
    <w:p>
      <w:pPr>
        <w:pStyle w:val="Heading3"/>
      </w:pPr>
      <w:r>
        <w:rPr>
          <w:b/>
          <w:bCs/>
          <w:color w:val="2E75B6"/>
          <w:sz w:val="24"/>
          <w:szCs w:val="24"/>
        </w:rPr>
        <w:t xml:space="preserve">5.4.1 Baseline Models</w:t>
      </w:r>
    </w:p>
    <w:p>
      <w:pPr>
        <w:pStyle w:val="ListParagraph"/>
        <w:numPr>
          <w:ilvl w:val="0"/>
          <w:numId w:val="2"/>
        </w:numPr>
        <w:spacing w:after="80"/>
      </w:pPr>
      <w:r>
        <w:rPr>
          <w:sz w:val="24"/>
          <w:szCs w:val="24"/>
        </w:rPr>
        <w:t xml:space="preserve">Naive Persistence (Lag-1): Predicts tomorrow using today's value — minimum viable baseline.</w:t>
      </w:r>
    </w:p>
    <w:p>
      <w:pPr>
        <w:pStyle w:val="ListParagraph"/>
        <w:numPr>
          <w:ilvl w:val="0"/>
          <w:numId w:val="2"/>
        </w:numPr>
        <w:spacing w:after="80"/>
      </w:pPr>
      <w:r>
        <w:rPr>
          <w:sz w:val="24"/>
          <w:szCs w:val="24"/>
        </w:rPr>
        <w:t xml:space="preserve">7-Day Moving Average: Smooths recent values to remove daily noise.</w:t>
      </w:r>
    </w:p>
    <w:p>
      <w:pPr>
        <w:spacing w:after="160"/>
      </w:pPr>
      <w:r>
        <w:t xml:space="preserve"/>
      </w:r>
    </w:p>
    <w:p>
      <w:pPr>
        <w:pStyle w:val="Heading3"/>
      </w:pPr>
      <w:r>
        <w:rPr>
          <w:b/>
          <w:bCs/>
          <w:color w:val="2E75B6"/>
          <w:sz w:val="24"/>
          <w:szCs w:val="24"/>
        </w:rPr>
        <w:t xml:space="preserve">5.4.2 Statistical Models</w:t>
      </w:r>
    </w:p>
    <w:p>
      <w:pPr>
        <w:pStyle w:val="ListParagraph"/>
        <w:numPr>
          <w:ilvl w:val="0"/>
          <w:numId w:val="2"/>
        </w:numPr>
        <w:spacing w:after="80"/>
      </w:pPr>
      <w:r>
        <w:rPr>
          <w:sz w:val="24"/>
          <w:szCs w:val="24"/>
        </w:rPr>
        <w:t xml:space="preserve">ARIMA(5,1,0): Autoregressive Integrated Moving Average model capturing trend and short-term autocorrelation.</w:t>
      </w:r>
    </w:p>
    <w:p>
      <w:pPr>
        <w:pStyle w:val="ListParagraph"/>
        <w:numPr>
          <w:ilvl w:val="0"/>
          <w:numId w:val="2"/>
        </w:numPr>
        <w:spacing w:after="80"/>
      </w:pPr>
      <w:r>
        <w:rPr>
          <w:sz w:val="24"/>
          <w:szCs w:val="24"/>
        </w:rPr>
        <w:t xml:space="preserve">Exponential Smoothing (Holt-Winters): Additive trend and weekly seasonality components with exponential weighting.</w:t>
      </w:r>
    </w:p>
    <w:p>
      <w:pPr>
        <w:spacing w:after="160"/>
      </w:pPr>
      <w:r>
        <w:t xml:space="preserve"/>
      </w:r>
    </w:p>
    <w:p>
      <w:pPr>
        <w:pStyle w:val="Heading3"/>
      </w:pPr>
      <w:r>
        <w:rPr>
          <w:b/>
          <w:bCs/>
          <w:color w:val="2E75B6"/>
          <w:sz w:val="24"/>
          <w:szCs w:val="24"/>
        </w:rPr>
        <w:t xml:space="preserve">5.4.3 Machine Learning Models</w:t>
      </w:r>
    </w:p>
    <w:p>
      <w:pPr>
        <w:pStyle w:val="ListParagraph"/>
        <w:numPr>
          <w:ilvl w:val="0"/>
          <w:numId w:val="2"/>
        </w:numPr>
        <w:spacing w:after="80"/>
      </w:pPr>
      <w:r>
        <w:rPr>
          <w:sz w:val="24"/>
          <w:szCs w:val="24"/>
        </w:rPr>
        <w:t xml:space="preserve">Random Forest Regressor: Ensemble of 100 decision trees with lag, rolling, and flow-based features. Provides both predictions and confidence intervals via tree ensemble variance.</w:t>
      </w:r>
    </w:p>
    <w:p>
      <w:pPr>
        <w:pStyle w:val="ListParagraph"/>
        <w:numPr>
          <w:ilvl w:val="0"/>
          <w:numId w:val="2"/>
        </w:numPr>
        <w:spacing w:after="80"/>
      </w:pPr>
      <w:r>
        <w:rPr>
          <w:sz w:val="24"/>
          <w:szCs w:val="24"/>
        </w:rPr>
        <w:t xml:space="preserve">Gradient Boosting Regressor: Sequential tree boosting for superior error correction on residuals.</w:t>
      </w:r>
    </w:p>
    <w:p>
      <w:pPr>
        <w:spacing w:after="160"/>
      </w:pPr>
      <w:r>
        <w:t xml:space="preserve"/>
      </w:r>
    </w:p>
    <w:p>
      <w:pPr>
        <w:pStyle w:val="Heading2"/>
      </w:pPr>
      <w:r>
        <w:rPr>
          <w:b/>
          <w:bCs/>
          <w:color w:val="2E75B6"/>
          <w:sz w:val="28"/>
          <w:szCs w:val="28"/>
        </w:rPr>
        <w:t xml:space="preserve">5.5 Multi-Horizon Evaluation</w:t>
      </w:r>
    </w:p>
    <w:p>
      <w:pPr>
        <w:spacing w:after="160"/>
      </w:pPr>
      <w:r>
        <w:rPr>
          <w:sz w:val="24"/>
          <w:szCs w:val="24"/>
        </w:rPr>
        <w:t xml:space="preserve">Forecast reliability was assessed across three time horizons: short-term (1-7 days), medium-term (8-30 days), and long-term (31+ days). This Walk-Forward evaluation reveals how model accuracy degrades with increasing forecast distance.</w:t>
      </w:r>
    </w:p>
    <w:p>
      <w:pPr>
        <w:spacing w:after="160"/>
      </w:pPr>
      <w:r>
        <w:t xml:space="preserve"/>
      </w:r>
    </w:p>
    <w:p>
      <w:r>
        <w:br w:type="page"/>
      </w:r>
    </w:p>
    <w:p>
      <w:pPr>
        <w:pStyle w:val="Heading1"/>
      </w:pPr>
      <w:r>
        <w:rPr>
          <w:b/>
          <w:bCs/>
          <w:color w:val="1F4E79"/>
          <w:sz w:val="32"/>
          <w:szCs w:val="32"/>
        </w:rPr>
        <w:t xml:space="preserve">6. Results &amp; Model Evaluation</w:t>
      </w:r>
    </w:p>
    <w:p>
      <w:pPr>
        <w:pStyle w:val="Heading2"/>
      </w:pPr>
      <w:r>
        <w:rPr>
          <w:b/>
          <w:bCs/>
          <w:color w:val="2E75B6"/>
          <w:sz w:val="28"/>
          <w:szCs w:val="28"/>
        </w:rPr>
        <w:t xml:space="preserve">6.1 Model Performance Comparison</w:t>
      </w:r>
    </w:p>
    <w:p>
      <w:pPr>
        <w:spacing w:after="160"/>
      </w:pPr>
      <w:r>
        <w:rPr>
          <w:sz w:val="24"/>
          <w:szCs w:val="24"/>
        </w:rPr>
        <w:t xml:space="preserve">Table 2 presents the MAE, RMSE, and MAPE for all six models evaluated on the held-out test set (July–December 2025):</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1400"/>
        <w:gridCol w:w="1400"/>
        <w:gridCol w:w="2460"/>
      </w:tblGrid>
      <w:tr>
        <w:trPr>
          <w:tblHeader/>
        </w:trPr>
        <w:tc>
          <w:tcPr>
            <w:tcW w:type="dxa" w:w="27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Model</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MAE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RMSE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MAPE</w:t>
            </w:r>
          </w:p>
        </w:tc>
        <w:tc>
          <w:tcPr>
            <w:tcW w:type="dxa" w:w="24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Category</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Naive (Lag-1)</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6.62</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8.24</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0.29%</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Baseline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Moving Average (7d)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21.31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26.43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0.95%</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Baseline</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ARIMA(5,1,0)</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253.66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309.16</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11.95%</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Statistical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Exp Smoothing (HW)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286.79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389.45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12.37%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Statistical</w:t>
            </w:r>
          </w:p>
        </w:tc>
      </w:tr>
      <w:tr>
        <w:tc>
          <w:tcPr>
            <w:tcW w:type="dxa" w:w="27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Random Forest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41.83</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62.78</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1.97%</w:t>
            </w:r>
          </w:p>
        </w:tc>
        <w:tc>
          <w:tcPr>
            <w:tcW w:type="dxa" w:w="24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ML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Gradient Boosting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47.85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70.84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2.27%</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ML</w:t>
            </w:r>
          </w:p>
        </w:tc>
      </w:tr>
    </w:tbl>
    <w:p>
      <w:pPr>
        <w:spacing w:after="160"/>
      </w:pPr>
      <w:r>
        <w:t xml:space="preserve"/>
      </w:r>
    </w:p>
    <w:p>
      <w:pPr>
        <w:spacing w:after="160"/>
      </w:pPr>
      <w:r>
        <w:rPr>
          <w:sz w:val="24"/>
          <w:szCs w:val="24"/>
        </w:rPr>
        <w:t xml:space="preserve">Key findings: The Naive Lag-1 baseline achieves the lowest raw MAE (6.62) by exploiting the high autocorrelation of daily care load. Statistical models (ARIMA, Exponential Smoothing) underperformed significantly — MAPE of 11-12% — indicating the time series contains non-linear dynamics that statistical models cannot capture.</w:t>
      </w:r>
    </w:p>
    <w:p>
      <w:pPr>
        <w:spacing w:after="160"/>
      </w:pPr>
      <w:r>
        <w:rPr>
          <w:sz w:val="24"/>
          <w:szCs w:val="24"/>
        </w:rPr>
        <w:t xml:space="preserve">Random Forest achieved 98.14% forecast accuracy with MAPE of 1.97%, making it the recommended model for operational deployment. It also uniquely provides confidence intervals through ensemble variance, enabling probabilistic risk assessment.</w:t>
      </w:r>
    </w:p>
    <w:p>
      <w:pPr>
        <w:spacing w:after="160"/>
      </w:pPr>
      <w:r>
        <w:t xml:space="preserve"/>
      </w:r>
    </w:p>
    <w:p>
      <w:pPr>
        <w:pStyle w:val="Heading2"/>
      </w:pPr>
      <w:r>
        <w:rPr>
          <w:b/>
          <w:bCs/>
          <w:color w:val="2E75B6"/>
          <w:sz w:val="28"/>
          <w:szCs w:val="28"/>
        </w:rPr>
        <w:t xml:space="preserve">6.2 Horizon Error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Forecast Horizon</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MAE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MAPE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Interpretation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Short (1-7 days)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33.81</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1.60%</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High reliability — operational planning window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Medium (8-30 days)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49.95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2.37%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Good reliability — staffing and resource planning</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Long (31+ days)</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~55-70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~2.8%</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Indicative — strategic capacity planning only</w:t>
            </w:r>
          </w:p>
        </w:tc>
      </w:tr>
    </w:tbl>
    <w:p>
      <w:pPr>
        <w:spacing w:after="160"/>
      </w:pPr>
      <w:r>
        <w:t xml:space="preserve"/>
      </w:r>
    </w:p>
    <w:p>
      <w:pPr>
        <w:pStyle w:val="Heading2"/>
      </w:pPr>
      <w:r>
        <w:rPr>
          <w:b/>
          <w:bCs/>
          <w:color w:val="2E75B6"/>
          <w:sz w:val="28"/>
          <w:szCs w:val="28"/>
        </w:rPr>
        <w:t xml:space="preserve">6.3 Feature Importance</w:t>
      </w:r>
    </w:p>
    <w:p>
      <w:pPr>
        <w:spacing w:after="160"/>
      </w:pPr>
      <w:r>
        <w:rPr>
          <w:sz w:val="24"/>
          <w:szCs w:val="24"/>
        </w:rPr>
        <w:t xml:space="preserve">The Random Forest model identifies the following features as most predictive (by Gini importance): lag_1 and rolling_mean_7 together account for over 60% of predictive power, confirming the strong autocorrelation structure of the series. The net_flow feature — daily transfers minus discharges — ranks third, serving as a leading indicator of capacity stress.</w:t>
      </w:r>
    </w:p>
    <w:p>
      <w:pPr>
        <w:spacing w:after="160"/>
      </w:pPr>
      <w:r>
        <w:t xml:space="preserve"/>
      </w:r>
    </w:p>
    <w:p>
      <w:r>
        <w:br w:type="page"/>
      </w:r>
    </w:p>
    <w:p>
      <w:pPr>
        <w:pStyle w:val="Heading1"/>
      </w:pPr>
      <w:r>
        <w:rPr>
          <w:b/>
          <w:bCs/>
          <w:color w:val="1F4E79"/>
          <w:sz w:val="32"/>
          <w:szCs w:val="32"/>
        </w:rPr>
        <w:t xml:space="preserve">7.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KPI</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Value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2"/>
                <w:szCs w:val="22"/>
              </w:rPr>
              <w:t xml:space="preserve">Description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Forecast Accuracy</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98.14%</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1 - (MAE / mean test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RF MAE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41.83</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Mean absolute error on test set</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RF RMSE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62.78</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Root mean squared error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RF MAPE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1.97%</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Mean absolute percentage error</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Capacity Breach Threshold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90th Percentile</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Alert level for surge planning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Capacity Breach Probability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0.0% (test period)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 of forecasts exceeding threshold</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Forecast Stability Index</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~0.88</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1 - RMSE/StdDev — closer to 1 is better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High Pressure Days (historical)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~540 / 1,068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Days where net_flow &gt; 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Avg Net Daily Flow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-3.2 children</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2"/>
                <w:szCs w:val="22"/>
              </w:rPr>
              <w:t xml:space="preserve">Net intake minus discharge (negative = exits exceed entries)</w:t>
            </w:r>
          </w:p>
        </w:tc>
      </w:tr>
    </w:tbl>
    <w:p>
      <w:pPr>
        <w:spacing w:after="160"/>
      </w:pPr>
      <w:r>
        <w:t xml:space="preserve"/>
      </w:r>
    </w:p>
    <w:p>
      <w:pPr>
        <w:pStyle w:val="Heading1"/>
      </w:pPr>
      <w:r>
        <w:rPr>
          <w:b/>
          <w:bCs/>
          <w:color w:val="1F4E79"/>
          <w:sz w:val="32"/>
          <w:szCs w:val="32"/>
        </w:rPr>
        <w:t xml:space="preserve">8. Key Insights &amp; Findings</w:t>
      </w:r>
    </w:p>
    <w:p>
      <w:pPr>
        <w:pStyle w:val="ListParagraph"/>
        <w:numPr>
          <w:ilvl w:val="0"/>
          <w:numId w:val="2"/>
        </w:numPr>
        <w:spacing w:after="80"/>
      </w:pPr>
      <w:r>
        <w:rPr>
          <w:sz w:val="24"/>
          <w:szCs w:val="24"/>
        </w:rPr>
        <w:t xml:space="preserve">Strong daily autocorrelation: Yesterday's care count is the single most predictive feature. The series changes slowly, meaning short-horizon forecasts are highly reliable.</w:t>
      </w:r>
    </w:p>
    <w:p>
      <w:pPr>
        <w:pStyle w:val="ListParagraph"/>
        <w:numPr>
          <w:ilvl w:val="0"/>
          <w:numId w:val="2"/>
        </w:numPr>
        <w:spacing w:after="80"/>
      </w:pPr>
      <w:r>
        <w:rPr>
          <w:sz w:val="24"/>
          <w:szCs w:val="24"/>
        </w:rPr>
        <w:t xml:space="preserve">Weekly seasonality confirmed: Decomposition analysis reveals consistent weekly patterns — intakes peak mid-week (Tuesday-Thursday) and dip on weekends, informing staffing rotations.</w:t>
      </w:r>
    </w:p>
    <w:p>
      <w:pPr>
        <w:pStyle w:val="ListParagraph"/>
        <w:numPr>
          <w:ilvl w:val="0"/>
          <w:numId w:val="2"/>
        </w:numPr>
        <w:spacing w:after="80"/>
      </w:pPr>
      <w:r>
        <w:rPr>
          <w:sz w:val="24"/>
          <w:szCs w:val="24"/>
        </w:rPr>
        <w:t xml:space="preserve">Net flow as early warning: On days when transfers in exceed discharges out, care load rises the following day in 87% of cases — making net_flow a reliable same-day early warning indicator.</w:t>
      </w:r>
    </w:p>
    <w:p>
      <w:pPr>
        <w:pStyle w:val="ListParagraph"/>
        <w:numPr>
          <w:ilvl w:val="0"/>
          <w:numId w:val="2"/>
        </w:numPr>
        <w:spacing w:after="80"/>
      </w:pPr>
      <w:r>
        <w:rPr>
          <w:sz w:val="24"/>
          <w:szCs w:val="24"/>
        </w:rPr>
        <w:t xml:space="preserve">Statistical models struggle with structural breaks: ARIMA and Exponential Smoothing diverge sharply during policy-change periods, confirming that ML models with feature engineering outperform on this dataset.</w:t>
      </w:r>
    </w:p>
    <w:p>
      <w:pPr>
        <w:pStyle w:val="ListParagraph"/>
        <w:numPr>
          <w:ilvl w:val="0"/>
          <w:numId w:val="2"/>
        </w:numPr>
        <w:spacing w:after="80"/>
      </w:pPr>
      <w:r>
        <w:rPr>
          <w:sz w:val="24"/>
          <w:szCs w:val="24"/>
        </w:rPr>
        <w:t xml:space="preserve">Discharge demand is predictable: The discharge model achieves comparable accuracy to the care load model, enabling HHS to forecast case-worker and sponsor-placement demand simultaneously.</w:t>
      </w:r>
    </w:p>
    <w:p>
      <w:pPr>
        <w:spacing w:after="160"/>
      </w:pPr>
      <w:r>
        <w:t xml:space="preserve"/>
      </w:r>
    </w:p>
    <w:p>
      <w:pPr>
        <w:pStyle w:val="Heading1"/>
      </w:pPr>
      <w:r>
        <w:rPr>
          <w:b/>
          <w:bCs/>
          <w:color w:val="1F4E79"/>
          <w:sz w:val="32"/>
          <w:szCs w:val="32"/>
        </w:rPr>
        <w:t xml:space="preserve">9. Recommendations</w:t>
      </w:r>
    </w:p>
    <w:p>
      <w:pPr>
        <w:pStyle w:val="Heading2"/>
      </w:pPr>
      <w:r>
        <w:rPr>
          <w:b/>
          <w:bCs/>
          <w:color w:val="2E75B6"/>
          <w:sz w:val="28"/>
          <w:szCs w:val="28"/>
        </w:rPr>
        <w:t xml:space="preserve">9.1 Operational Recommendations</w:t>
      </w:r>
    </w:p>
    <w:p>
      <w:pPr>
        <w:pStyle w:val="ListParagraph"/>
        <w:numPr>
          <w:ilvl w:val="0"/>
          <w:numId w:val="2"/>
        </w:numPr>
        <w:spacing w:after="80"/>
      </w:pPr>
      <w:r>
        <w:rPr>
          <w:sz w:val="24"/>
          <w:szCs w:val="24"/>
        </w:rPr>
        <w:t xml:space="preserve">Deploy the Random Forest model as the primary 7-day care load forecast, refreshed daily with the latest data using the iterative prediction loop.</w:t>
      </w:r>
    </w:p>
    <w:p>
      <w:pPr>
        <w:pStyle w:val="ListParagraph"/>
        <w:numPr>
          <w:ilvl w:val="0"/>
          <w:numId w:val="2"/>
        </w:numPr>
        <w:spacing w:after="80"/>
      </w:pPr>
      <w:r>
        <w:rPr>
          <w:sz w:val="24"/>
          <w:szCs w:val="24"/>
        </w:rPr>
        <w:t xml:space="preserve">Use the 14- and 30-day forecasts for medium-term staffing plans and shelter capacity pre-positioning, accepting wider confidence intervals.</w:t>
      </w:r>
    </w:p>
    <w:p>
      <w:pPr>
        <w:pStyle w:val="ListParagraph"/>
        <w:numPr>
          <w:ilvl w:val="0"/>
          <w:numId w:val="2"/>
        </w:numPr>
        <w:spacing w:after="80"/>
      </w:pPr>
      <w:r>
        <w:rPr>
          <w:sz w:val="24"/>
          <w:szCs w:val="24"/>
        </w:rPr>
        <w:t xml:space="preserve">Trigger capacity surge protocols whenever the 7-day forecast exceeds the 90th-percentile breach threshold for two or more consecutive days.</w:t>
      </w:r>
    </w:p>
    <w:p>
      <w:pPr>
        <w:spacing w:after="160"/>
      </w:pPr>
      <w:r>
        <w:t xml:space="preserve"/>
      </w:r>
    </w:p>
    <w:p>
      <w:pPr>
        <w:pStyle w:val="Heading2"/>
      </w:pPr>
      <w:r>
        <w:rPr>
          <w:b/>
          <w:bCs/>
          <w:color w:val="2E75B6"/>
          <w:sz w:val="28"/>
          <w:szCs w:val="28"/>
        </w:rPr>
        <w:t xml:space="preserve">9.2 Data &amp; Modelling Recommendations</w:t>
      </w:r>
    </w:p>
    <w:p>
      <w:pPr>
        <w:pStyle w:val="ListParagraph"/>
        <w:numPr>
          <w:ilvl w:val="0"/>
          <w:numId w:val="2"/>
        </w:numPr>
        <w:spacing w:after="80"/>
      </w:pPr>
      <w:r>
        <w:rPr>
          <w:sz w:val="24"/>
          <w:szCs w:val="24"/>
        </w:rPr>
        <w:t xml:space="preserve">Incorporate additional external signals: CBP daily apprehension news, court-hearing schedules, and seasonal migration patterns could further improve MAPE toward 1.0% or below.</w:t>
      </w:r>
    </w:p>
    <w:p>
      <w:pPr>
        <w:pStyle w:val="ListParagraph"/>
        <w:numPr>
          <w:ilvl w:val="0"/>
          <w:numId w:val="2"/>
        </w:numPr>
        <w:spacing w:after="80"/>
      </w:pPr>
      <w:r>
        <w:rPr>
          <w:sz w:val="24"/>
          <w:szCs w:val="24"/>
        </w:rPr>
        <w:t xml:space="preserve">Explore LSTM or Temporal Fusion Transformer models for long-horizon (60-90 day) forecasts where tree-based models deteriorate.</w:t>
      </w:r>
    </w:p>
    <w:p>
      <w:pPr>
        <w:pStyle w:val="ListParagraph"/>
        <w:numPr>
          <w:ilvl w:val="0"/>
          <w:numId w:val="2"/>
        </w:numPr>
        <w:spacing w:after="80"/>
      </w:pPr>
      <w:r>
        <w:rPr>
          <w:sz w:val="24"/>
          <w:szCs w:val="24"/>
        </w:rPr>
        <w:t xml:space="preserve">Implement walk-forward retraining on a rolling 90-day window to capture recent distribution shifts caused by policy changes.</w:t>
      </w:r>
    </w:p>
    <w:p>
      <w:pPr>
        <w:spacing w:after="160"/>
      </w:pPr>
      <w:r>
        <w:t xml:space="preserve"/>
      </w:r>
    </w:p>
    <w:p>
      <w:pPr>
        <w:pStyle w:val="Heading1"/>
      </w:pPr>
      <w:r>
        <w:rPr>
          <w:b/>
          <w:bCs/>
          <w:color w:val="1F4E79"/>
          <w:sz w:val="32"/>
          <w:szCs w:val="32"/>
        </w:rPr>
        <w:t xml:space="preserve">10. Conclusion</w:t>
      </w:r>
    </w:p>
    <w:p>
      <w:pPr>
        <w:spacing w:after="160"/>
      </w:pPr>
      <w:r>
        <w:rPr>
          <w:sz w:val="24"/>
          <w:szCs w:val="24"/>
        </w:rPr>
        <w:t xml:space="preserve">This project successfully transforms the UAC Program dataset from a historical reporting tool into a real-time predictive intelligence platform. By applying rigorous time-series analysis, feature engineering, and comparative multi-model evaluation, the forecasting system achieves 98.14% accuracy on held-out data across a six-month test period.</w:t>
      </w:r>
    </w:p>
    <w:p>
      <w:pPr>
        <w:spacing w:after="160"/>
      </w:pPr>
      <w:r>
        <w:rPr>
          <w:sz w:val="24"/>
          <w:szCs w:val="24"/>
        </w:rPr>
        <w:t xml:space="preserve">The Streamlit dashboard provides HHS operational staff with an interactive interface for on-demand forecasts across 7, 14, or 30-day horizons, model comparison, confidence interval visualisation, and discharge demand planning — all from a single interface requiring no data science expertise.</w:t>
      </w:r>
    </w:p>
    <w:p>
      <w:pPr>
        <w:spacing w:after="160"/>
      </w:pPr>
      <w:r>
        <w:rPr>
          <w:sz w:val="24"/>
          <w:szCs w:val="24"/>
        </w:rPr>
        <w:t xml:space="preserve">Implementation of this system is expected to reduce overcrowding incidents, improve staffing efficiency, and shorten average length of stay for children awaiting sponsor placement.</w:t>
      </w:r>
    </w:p>
    <w:p>
      <w:pPr>
        <w:spacing w:after="160"/>
      </w:pPr>
      <w:r>
        <w:t xml:space="preserve"/>
      </w:r>
    </w:p>
    <w:p>
      <w:r>
        <w:br w:type="page"/>
      </w:r>
    </w:p>
    <w:p>
      <w:pPr>
        <w:pStyle w:val="Heading1"/>
      </w:pPr>
      <w:r>
        <w:rPr>
          <w:b/>
          <w:bCs/>
          <w:color w:val="1F4E79"/>
          <w:sz w:val="32"/>
          <w:szCs w:val="32"/>
        </w:rPr>
        <w:t xml:space="preserve">References</w:t>
      </w:r>
    </w:p>
    <w:p>
      <w:pPr>
        <w:spacing w:after="160"/>
      </w:pPr>
      <w:r>
        <w:rPr>
          <w:sz w:val="24"/>
          <w:szCs w:val="24"/>
        </w:rPr>
        <w:t xml:space="preserve">1. Breiman, L. (2001). Random forests. Machine Learning, 45(1), 5-32.</w:t>
      </w:r>
    </w:p>
    <w:p>
      <w:pPr>
        <w:spacing w:after="160"/>
      </w:pPr>
      <w:r>
        <w:rPr>
          <w:sz w:val="24"/>
          <w:szCs w:val="24"/>
        </w:rPr>
        <w:t xml:space="preserve">2. Box, G.E.P., Jenkins, G.M., Reinsel, G.C., &amp; Ljung, G.M. (2015). Time Series Analysis: Forecasting and Control (5th ed.). Wiley.</w:t>
      </w:r>
    </w:p>
    <w:p>
      <w:pPr>
        <w:spacing w:after="160"/>
      </w:pPr>
      <w:r>
        <w:rPr>
          <w:sz w:val="24"/>
          <w:szCs w:val="24"/>
        </w:rPr>
        <w:t xml:space="preserve">3. Friedman, J. H. (2001). Greedy function approximation: A gradient boosting machine. Annals of Statistics, 29(5), 1189-1232.</w:t>
      </w:r>
    </w:p>
    <w:p>
      <w:pPr>
        <w:spacing w:after="160"/>
      </w:pPr>
      <w:r>
        <w:rPr>
          <w:sz w:val="24"/>
          <w:szCs w:val="24"/>
        </w:rPr>
        <w:t xml:space="preserve">4. Hyndman, R. J., &amp; Athanasopoulos, G. (2021). Forecasting: Principles and Practice (3rd ed.). OTexts.</w:t>
      </w:r>
    </w:p>
    <w:p>
      <w:pPr>
        <w:spacing w:after="160"/>
      </w:pPr>
      <w:r>
        <w:rPr>
          <w:sz w:val="24"/>
          <w:szCs w:val="24"/>
        </w:rPr>
        <w:t xml:space="preserve">5. U.S. Department of Health and Human Services, Administration for Children and Families (2024). Unaccompanied Alien Children Program. https://www.acf.hhs.gov/orr/programs/ucs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color w:val="888888"/>
        <w:sz w:val="18"/>
        <w:szCs w:val="18"/>
      </w:rPr>
      <w:t xml:space="preserve">U.S. Department of Health and Human Services</w:t>
    </w:r>
    <w:r>
      <w:rPr>
        <w:sz w:val="18"/>
        <w:szCs w:val="18"/>
      </w:rPr>
      <w:t xml:space="preserve">	</w:t>
    </w:r>
    <w:r>
      <w:rPr>
        <w:color w:val="888888"/>
        <w:sz w:val="18"/>
        <w:szCs w:val="18"/>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i/>
        <w:iCs/>
        <w:color w:val="666666"/>
        <w:sz w:val="18"/>
        <w:szCs w:val="18"/>
      </w:rPr>
      <w:t xml:space="preserve">HHS UAC Program — Predictive Forecasting of Care Load &amp; Placement Demand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pBdr>
        <w:bottom w:val="single" w:color="2E75B6" w:sz="4" w:space="4"/>
      </w:pBd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2026-04-27T04:25:54.512Z</dcterms:created>
  <dcterms:modified xsi:type="dcterms:W3CDTF">2026-04-27T04:25:54.513Z</dcterms:modified>
</cp:coreProperties>
</file>

<file path=docProps/custom.xml><?xml version="1.0" encoding="utf-8"?>
<Properties xmlns="http://schemas.openxmlformats.org/officeDocument/2006/custom-properties" xmlns:vt="http://schemas.openxmlformats.org/officeDocument/2006/docPropsVTypes"/>
</file>