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Higgs AI — Phase 2 Documentation</w:t>
      </w:r>
    </w:p>
    <w:p>
      <w:pPr>
        <w:spacing w:after="300"/>
      </w:pPr>
      <w:r>
        <w:rPr>
          <w:b/>
          <w:bCs/>
        </w:rPr>
        <w:t xml:space="preserve">Status: </w:t>
      </w:r>
      <w:r>
        <w:t xml:space="preserve">Phase 2 Complete (first concept: liquidity_grab)</w:t>
      </w:r>
    </w:p>
    <w:p>
      <w:pPr>
        <w:pStyle w:val="Heading1"/>
        <w:spacing w:after="150" w:before="300"/>
      </w:pPr>
      <w:r>
        <w:t xml:space="preserve">Goal</w:t>
      </w:r>
    </w:p>
    <w:p>
      <w:pPr>
        <w:spacing w:after="200"/>
      </w:pPr>
      <w:r>
        <w:t xml:space="preserve">Move Higgs AI from plain text answers to static visual explanations — AI selects a pre-built chart template and fills it with lecture-derived data, rendered as an animated static diagram.</w:t>
      </w:r>
    </w:p>
    <w:p>
      <w:pPr>
        <w:pStyle w:val="Heading1"/>
        <w:spacing w:after="150" w:before="300"/>
      </w:pPr>
      <w:r>
        <w:t xml:space="preserve">Scope Note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Order Block was originally planned as the first template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lecture1.txt only covers liquidity / stop-hunt content, so liquidity_grab was built first instead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Order Block deferred until real lecture content covering it is available</w:t>
      </w:r>
    </w:p>
    <w:p>
      <w:pPr>
        <w:pStyle w:val="Heading1"/>
        <w:spacing w:after="150" w:before="300"/>
      </w:pPr>
      <w:r>
        <w:t xml:space="preserve">What Was Built</w:t>
      </w:r>
    </w:p>
    <w:p>
      <w:pPr>
        <w:pStyle w:val="Heading2"/>
        <w:spacing w:after="100" w:before="200"/>
      </w:pPr>
      <w:r>
        <w:t xml:space="preserve">1. Scene Script Format (JSON)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old_high_level — price level being swept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candles — array of objects (open, close, wickHigh, wickLow)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grab_candle_index — which candle is the liquidity grab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direction — move direction after the grab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label — text label for the concept shown</w:t>
      </w:r>
    </w:p>
    <w:p>
      <w:pPr>
        <w:pStyle w:val="Heading2"/>
        <w:spacing w:after="100" w:before="200"/>
      </w:pPr>
      <w:r>
        <w:t xml:space="preserve">2. Chunk Tagging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chunks.json tagged with a "concept" field per chunk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id4 [01:00] and id5 [01:20] tagged as "liquidity_grab"; remaining chunks tagged "none"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embeddings.json regenerated via embed.py so the concept field carries forward into embeddings</w:t>
      </w:r>
    </w:p>
    <w:p>
      <w:pPr>
        <w:pStyle w:val="Heading2"/>
        <w:spacing w:after="100" w:before="200"/>
      </w:pPr>
      <w:r>
        <w:t xml:space="preserve">3. main.py Additions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get_liquidity_grab_scene() — hardcoded/manually-tuned scene template (candle values since fine-tuned manually)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get_scene_script(chunk, score, threshold) — returns a scene only if score ≥ 0.70 AND chunk concept == "liquidity_grab"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save_scene_script(scene) — writes silently to Scripts/scene_output.json (overwrites each run)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Terminal output limited to text answer + matched chunk + score (no raw JSON printed)</w:t>
      </w:r>
    </w:p>
    <w:p>
      <w:pPr>
        <w:pStyle w:val="Heading2"/>
        <w:spacing w:after="100" w:before="200"/>
      </w:pPr>
      <w:r>
        <w:t xml:space="preserve">4. Renderer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Standalone HTML file in Scripts/ folder — pure SVG + CSS animation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external charting library used — avoids CDN / tracking-prevention issues hit earlier with Lightweight Charts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Fetches scene_output.json live via fetch().then() — requires Live Server / http://, not file://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Draws ~25 candles with real wicks, a chopping range repeatedly testing an "old high" (dashed gold line), one long-wick spike candle (the liquidity grab), then a reversal decline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Modeled after a reference ICT liquidity grab diagram</w:t>
      </w:r>
    </w:p>
    <w:p>
      <w:pPr>
        <w:pStyle w:val="Heading1"/>
        <w:spacing w:after="150" w:before="300"/>
      </w:pPr>
      <w:r>
        <w:t xml:space="preserve">Visual Theme (Locked)</w:t>
      </w:r>
    </w:p>
    <w:p>
      <w:pPr>
        <w:spacing w:after="100"/>
      </w:pPr>
      <w:r>
        <w:t xml:space="preserve">Only layout/spacing may change going forward. Colors, fonts, and animation style are locked.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t xml:space="preserve">Background</w:t>
            </w:r>
          </w:p>
        </w:tc>
        <w:tc>
          <w:tcPr>
            <w:tcW w:type="dxa" w:w="6000"/>
          </w:tcPr>
          <w:p>
            <w:r>
              <w:t xml:space="preserve">Ivory — #FAF6EF</w:t>
            </w:r>
          </w:p>
        </w:tc>
      </w:tr>
      <w:tr>
        <w:tc>
          <w:tcPr>
            <w:tcW w:type="dxa" w:w="3000"/>
          </w:tcPr>
          <w:p>
            <w:r>
              <w:t xml:space="preserve">Panel</w:t>
            </w:r>
          </w:p>
        </w:tc>
        <w:tc>
          <w:tcPr>
            <w:tcW w:type="dxa" w:w="6000"/>
          </w:tcPr>
          <w:p>
            <w:r>
              <w:t xml:space="preserve">White</w:t>
            </w:r>
          </w:p>
        </w:tc>
      </w:tr>
      <w:tr>
        <w:tc>
          <w:tcPr>
            <w:tcW w:type="dxa" w:w="3000"/>
          </w:tcPr>
          <w:p>
            <w:r>
              <w:t xml:space="preserve">Text</w:t>
            </w:r>
          </w:p>
        </w:tc>
        <w:tc>
          <w:tcPr>
            <w:tcW w:type="dxa" w:w="6000"/>
          </w:tcPr>
          <w:p>
            <w:r>
              <w:t xml:space="preserve">Soft taupe — #6B5B4D</w:t>
            </w:r>
          </w:p>
        </w:tc>
      </w:tr>
      <w:tr>
        <w:tc>
          <w:tcPr>
            <w:tcW w:type="dxa" w:w="3000"/>
          </w:tcPr>
          <w:p>
            <w:r>
              <w:t xml:space="preserve">Up candle</w:t>
            </w:r>
          </w:p>
        </w:tc>
        <w:tc>
          <w:tcPr>
            <w:tcW w:type="dxa" w:w="6000"/>
          </w:tcPr>
          <w:p>
            <w:r>
              <w:t xml:space="preserve">Muted sage green — #4E8C7A</w:t>
            </w:r>
          </w:p>
        </w:tc>
      </w:tr>
      <w:tr>
        <w:tc>
          <w:tcPr>
            <w:tcW w:type="dxa" w:w="3000"/>
          </w:tcPr>
          <w:p>
            <w:r>
              <w:t xml:space="preserve">Down candle</w:t>
            </w:r>
          </w:p>
        </w:tc>
        <w:tc>
          <w:tcPr>
            <w:tcW w:type="dxa" w:w="6000"/>
          </w:tcPr>
          <w:p>
            <w:r>
              <w:t xml:space="preserve">Soft terracotta — #C97C68</w:t>
            </w:r>
          </w:p>
        </w:tc>
      </w:tr>
      <w:tr>
        <w:tc>
          <w:tcPr>
            <w:tcW w:type="dxa" w:w="3000"/>
          </w:tcPr>
          <w:p>
            <w:r>
              <w:t xml:space="preserve">Accent</w:t>
            </w:r>
          </w:p>
        </w:tc>
        <w:tc>
          <w:tcPr>
            <w:tcW w:type="dxa" w:w="6000"/>
          </w:tcPr>
          <w:p>
            <w:r>
              <w:t xml:space="preserve">Gold — #B08D57</w:t>
            </w:r>
          </w:p>
        </w:tc>
      </w:tr>
      <w:tr>
        <w:tc>
          <w:tcPr>
            <w:tcW w:type="dxa" w:w="3000"/>
          </w:tcPr>
          <w:p>
            <w:r>
              <w:t xml:space="preserve">Headings font</w:t>
            </w:r>
          </w:p>
        </w:tc>
        <w:tc>
          <w:tcPr>
            <w:tcW w:type="dxa" w:w="6000"/>
          </w:tcPr>
          <w:p>
            <w:r>
              <w:t xml:space="preserve">Georgia (serif)</w:t>
            </w:r>
          </w:p>
        </w:tc>
      </w:tr>
      <w:tr>
        <w:tc>
          <w:tcPr>
            <w:tcW w:type="dxa" w:w="3000"/>
          </w:tcPr>
          <w:p>
            <w:r>
              <w:t xml:space="preserve">Animation</w:t>
            </w:r>
          </w:p>
        </w:tc>
        <w:tc>
          <w:tcPr>
            <w:tcW w:type="dxa" w:w="6000"/>
          </w:tcPr>
          <w:p>
            <w:r>
              <w:t xml:space="preserve">Candles grow in staggered (CSS scaleY); liquidity line draws in via stroke-dashoffset; grab marker drops in last</w:t>
            </w:r>
          </w:p>
        </w:tc>
      </w:tr>
    </w:tbl>
    <w:p>
      <w:pPr>
        <w:pStyle w:val="Heading1"/>
        <w:spacing w:after="150" w:before="300"/>
      </w:pPr>
      <w:r>
        <w:t xml:space="preserve">Testing / Verification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Two differently tagged chunks (id4, id5) both correctly trigger the scene script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unrelated question (score below 0.70 threshold) correctly does NOT trigger or overwrite scene_output.json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Concept-gating logic (score + concept match) confirmed solid</w:t>
      </w:r>
    </w:p>
    <w:p>
      <w:pPr>
        <w:pStyle w:val="Heading1"/>
        <w:spacing w:after="150" w:before="300"/>
      </w:pPr>
      <w:r>
        <w:t xml:space="preserve">Explicitly Out of Scope for Phase 2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animation / step-by-step reveal (planned for Phase 3)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live market data (planned for Phase 7)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fine-tuning (planned for Phase 5)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2026-07-19T08:23:04.085Z</dcterms:created>
  <dcterms:modified xsi:type="dcterms:W3CDTF">2026-07-19T08:23:04.097Z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