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C1541C"/>
          <w:sz w:val="40"/>
          <w:szCs w:val="40"/>
        </w:rPr>
        <w:t xml:space="preserve">Implementation Plan</w:t>
      </w:r>
    </w:p>
    <w:p>
      <w:pPr>
        <w:spacing w:after="100"/>
      </w:pPr>
      <w:r>
        <w:rPr>
          <w:b/>
          <w:bCs/>
          <w:color w:val="1F5C57"/>
          <w:sz w:val="28"/>
          <w:szCs w:val="28"/>
        </w:rPr>
        <w:t xml:space="preserve">Continuous Vendor Trust Monitoring</w:t>
      </w:r>
    </w:p>
    <w:p>
      <w:pPr>
        <w:spacing w:after="40"/>
      </w:pPr>
      <w:r>
        <w:rPr>
          <w:i/>
          <w:iCs/>
          <w:color w:val="595959"/>
          <w:sz w:val="20"/>
          <w:szCs w:val="20"/>
        </w:rPr>
        <w:t xml:space="preserve">Website stack: Next.js (TypeScript) + Supabase (Postgres, Auth, Storage) + Vercel + GitHub</w:t>
      </w:r>
    </w:p>
    <w:p>
      <w:pPr>
        <w:spacing w:after="600"/>
      </w:pPr>
      <w:r>
        <w:rPr>
          <w:i/>
          <w:iCs/>
          <w:color w:val="595959"/>
          <w:sz w:val="20"/>
          <w:szCs w:val="20"/>
        </w:rPr>
        <w:t xml:space="preserve">Companion to the Engineering Requirements Document — build against this plan with AI, verifying every user flow end-to-end including failures and edge cases</w:t>
      </w:r>
    </w:p>
    <w:p>
      <w:pPr>
        <w:pageBreakBefore/>
      </w:pPr>
      <w:r>
        <w:t xml:space="preserve"/>
      </w:r>
    </w:p>
    <w:p>
      <w:pPr>
        <w:pStyle w:val="Heading1"/>
        <w:pBdr>
          <w:bottom w:val="single" w:color="C1541C" w:sz="8" w:space="4"/>
        </w:pBdr>
        <w:spacing w:after="160" w:before="360"/>
      </w:pPr>
      <w:r>
        <w:rPr>
          <w:b/>
          <w:bCs/>
          <w:color w:val="C1541C"/>
          <w:sz w:val="30"/>
          <w:szCs w:val="30"/>
        </w:rPr>
        <w:t xml:space="preserve">How to use this plan</w:t>
      </w:r>
    </w:p>
    <w:p>
      <w:pPr>
        <w:spacing w:after="160" w:line="300"/>
      </w:pPr>
      <w:r>
        <w:rPr>
          <w:b w:val="false"/>
          <w:bCs w:val="false"/>
          <w:i w:val="false"/>
          <w:iCs w:val="false"/>
          <w:color w:val="1F1F1F"/>
          <w:sz w:val="20"/>
          <w:szCs w:val="20"/>
        </w:rPr>
        <w:t xml:space="preserve">Eighteen chunks across five phases plus a foundation phase, matching PRD §12's ordering: nothing in Phase 2 onward starts until Phase 1's core hypothesis (continuous GST/MSME checks) is actually working end-to-end. Each chunk is scoped to be buildable and testable in isolation. For every chunk, verify the flow end-to-end, including its failure and edge-case paths from the ERD §7, not just that the UI renders — that is what tells you the system works, not just that it looks like it works.</w:t>
      </w:r>
    </w:p>
    <w:p>
      <w:pPr>
        <w:spacing w:after="160" w:line="300"/>
      </w:pPr>
      <w:r>
        <w:rPr>
          <w:b w:val="false"/>
          <w:bCs w:val="false"/>
          <w:i w:val="false"/>
          <w:iCs w:val="false"/>
          <w:color w:val="1F1F1F"/>
          <w:sz w:val="20"/>
          <w:szCs w:val="20"/>
        </w:rPr>
        <w:t xml:space="preserve">Third-party API strategy carried over from PRD §12: build against GLEIF (free), Sandbox (self-serve pay-per-call), Eko (sandbox credentials), and Deepvue (free trial) first. If any capability has no free/trial path when its chunk starts, ship that chunk against a mock adapter instead of blocking on a sales contract.</w:t>
      </w:r>
    </w:p>
    <w:p>
      <w:pPr>
        <w:pStyle w:val="Heading1"/>
        <w:pBdr>
          <w:bottom w:val="single" w:color="C1541C" w:sz="8" w:space="4"/>
        </w:pBdr>
        <w:spacing w:after="160" w:before="360"/>
      </w:pPr>
      <w:r>
        <w:rPr>
          <w:b/>
          <w:bCs/>
          <w:color w:val="C1541C"/>
          <w:sz w:val="30"/>
          <w:szCs w:val="30"/>
        </w:rPr>
        <w:t xml:space="preserve">Phase 0 — Foundation</w:t>
      </w:r>
    </w:p>
    <w:p>
      <w:pPr>
        <w:spacing w:after="160" w:line="300"/>
      </w:pPr>
      <w:r>
        <w:rPr>
          <w:b w:val="false"/>
          <w:bCs w:val="false"/>
          <w:i w:val="false"/>
          <w:iCs w:val="false"/>
          <w:color w:val="1F1F1F"/>
          <w:sz w:val="20"/>
          <w:szCs w:val="20"/>
        </w:rPr>
        <w:t xml:space="preserve">Not in the PRD's five phases directly, but required before Phase 1 can start: the repo, the deploy pipeline, and the tenant/auth model everything else is built on.</w:t>
      </w:r>
    </w:p>
    <w:p>
      <w:pPr>
        <w:pStyle w:val="Heading3"/>
        <w:shd w:fill="E6EFEE" w:val="clear"/>
        <w:spacing w:after="80" w:before="240"/>
      </w:pPr>
      <w:r>
        <w:rPr>
          <w:b/>
          <w:bCs/>
          <w:color w:val="1F5C57"/>
          <w:sz w:val="21"/>
          <w:szCs w:val="21"/>
        </w:rPr>
        <w:t xml:space="preserve">Chunk 0.1 — Project scaffolding, auth, deploy pipeline</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Next.js (TypeScript) website project; Supabase project (Postgres + Auth + Storage); GitHub repo with Vercel auto-deploy on push to main; Supabase Auth email/password sign-up and login pages. This is a browser-based website, not a native mobile app.</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 /lib/supabase/{client,server}.ts, /middleware.ts (session refresh), package.json, .env.local (+ Vercel env vars)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None yet beyond Supabase's own auth.users table.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Supabase project created; Vercel project linked to GitHub repo; no external vendor APIs needed for this chunk.</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new user can sign up, log in, and land on an empty authenticated dashboard shell; a push to main auto-deploys to a Vercel preview/production URL.</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Playwright e2e: sign-up → login → see dashboard shell → log out → login page redirect on unauthenticated access. Failure case: wrong password shows an inline error, not a silent redirect loop.</w:t>
            </w:r>
          </w:p>
        </w:tc>
      </w:tr>
    </w:tbl>
    <w:p>
      <w:pPr>
        <w:spacing w:after="100"/>
      </w:pPr>
    </w:p>
    <w:p>
      <w:pPr>
        <w:pStyle w:val="Heading3"/>
        <w:shd w:fill="E6EFEE" w:val="clear"/>
        <w:spacing w:after="80" w:before="240"/>
      </w:pPr>
      <w:r>
        <w:rPr>
          <w:b/>
          <w:bCs/>
          <w:color w:val="1F5C57"/>
          <w:sz w:val="21"/>
          <w:szCs w:val="21"/>
        </w:rPr>
        <w:t xml:space="preserve">Chunk 0.2 — Core schema + RLS baseline</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organizations and users tables (ERD §3.2); one Supabase migration creating both plus a trigger that creates a users row on auth.users insert; baseline RLS policy pattern established and applied to both tables.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/supabase/migrations/0001_core.sql, /lib/supabase/types.ts (generated types)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organizations, users; RLS: organization_id = (select organization_id from users where id = auth.uid()); no API routes yet.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0.1 (Supabase project + auth working).</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signed-up user is automatically assigned to an organization row; querying users or organizations as one org's user never returns another org's rows, verified directly against Postgres, not just through the UI.</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Unit/integration test hitting Supabase directly with two seeded orgs: user A's session cannot SELECT org B's row. Playwright: two test accounts in different orgs never see each other's data anywhere in the UI.</w:t>
            </w:r>
          </w:p>
        </w:tc>
      </w:tr>
    </w:tbl>
    <w:p>
      <w:pPr>
        <w:spacing w:after="100"/>
      </w:pPr>
    </w:p>
    <w:p>
      <w:pPr>
        <w:pStyle w:val="Heading1"/>
        <w:pBdr>
          <w:bottom w:val="single" w:color="C1541C" w:sz="8" w:space="4"/>
        </w:pBdr>
        <w:spacing w:after="160" w:before="360"/>
      </w:pPr>
      <w:r>
        <w:rPr>
          <w:b/>
          <w:bCs/>
          <w:color w:val="C1541C"/>
          <w:sz w:val="30"/>
          <w:szCs w:val="30"/>
        </w:rPr>
        <w:t xml:space="preserve">Phase 1 — Vendor connector + continuous GST/MSME checks</w:t>
      </w:r>
    </w:p>
    <w:p>
      <w:pPr>
        <w:spacing w:after="160" w:line="300"/>
      </w:pPr>
      <w:r>
        <w:rPr>
          <w:b w:val="false"/>
          <w:bCs w:val="false"/>
          <w:i w:val="false"/>
          <w:iCs w:val="false"/>
          <w:color w:val="1F1F1F"/>
          <w:sz w:val="20"/>
          <w:szCs w:val="20"/>
        </w:rPr>
        <w:t xml:space="preserve">PRD §12: “the core hypothesis from Section 9 — if this doesn't hold, nothing else is worth building.” This phase alone should be enough to test whether real GST/MSME status changes occur often enough to justify the product (PRD §9, §11).</w:t>
      </w:r>
    </w:p>
    <w:p>
      <w:pPr>
        <w:pStyle w:val="Heading3"/>
        <w:shd w:fill="E6EFEE" w:val="clear"/>
        <w:spacing w:after="80" w:before="240"/>
      </w:pPr>
      <w:r>
        <w:rPr>
          <w:b/>
          <w:bCs/>
          <w:color w:val="1F5C57"/>
          <w:sz w:val="21"/>
          <w:szCs w:val="21"/>
        </w:rPr>
        <w:t xml:space="preserve">Chunk 1.1 — Vendor bulk upload / import</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CSV/XLSX upload UI with column mapping; parses a Tally export or Excel sheet into the vendors schema; per-row validation (GSTIN format, Udyam format); dedupes by GSTIN within the same upload.</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/app/vendors/import/page.tsx, /app/api/vendors/import/route.ts, /lib/import/parseVendorFile.ts, /lib/import/validateVendorRow.ts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vendors, vendor_imports (ERD §3.2); POST /api/vendors/import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0.2 (schema + RLS). No external vendor API needed — this is pure file parsing.</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Uploading a 220-row sample vendor list creates a vendor_imports row and the corresponding vendor rows within minutes (PRD §4.1's 'within minutes' promise); a file with 5 malformed rows imports the other 215 and reports the 5 by row number.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Playwright: upload a good file → see 220 vendors listed. Upload a file with duplicate GSTINs → see the duplicate skipped and reported, not silently merged or double-counted. Upload an empty file → clear error, not a blank success state.</w:t>
            </w:r>
          </w:p>
        </w:tc>
      </w:tr>
    </w:tbl>
    <w:p>
      <w:pPr>
        <w:spacing w:after="100"/>
      </w:pPr>
    </w:p>
    <w:p>
      <w:pPr>
        <w:pStyle w:val="Heading3"/>
        <w:shd w:fill="E6EFEE" w:val="clear"/>
        <w:spacing w:after="80" w:before="240"/>
      </w:pPr>
      <w:r>
        <w:rPr>
          <w:b/>
          <w:bCs/>
          <w:color w:val="1F5C57"/>
          <w:sz w:val="21"/>
          <w:szCs w:val="21"/>
        </w:rPr>
        <w:t xml:space="preserve">Chunk 1.2 — GST provider adapter (Sandbox by Quicko) + mock</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ProviderAdapter interface for GST checks; live implementation against Sandbox's GST API; a mock implementation returning deterministic fixture data, selected via env var so Phase 1 can be developed and tested before/without live vendor credentials.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/lib/providers/gst/types.ts, /lib/providers/gst/sandboxAdapter.ts, /lib/providers/gst/mockAdapter.ts, /lib/providers/gst/index.ts (adapter selector)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No new tables (writes to verification_checks, added in 1.4). No public API route — called internally by the poller.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Sandbox account (self-serve signup, ERD §8 / PRD §12). Falls back to the mock adapter if no API key is configured.</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Calling the adapter for a known-active GSTIN returns status ACTIVE; for a known-cancelled one returns CANCELLED; the mock adapter's fixtures cover both cases plus a simulated timeout.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Unit tests against both adapters with the same test-case matrix (active / cancelled / invalid GSTIN / provider timeout), asserting both return the same shape. No e2e yet — this chunk has no UI.</w:t>
            </w:r>
          </w:p>
        </w:tc>
      </w:tr>
    </w:tbl>
    <w:p>
      <w:pPr>
        <w:spacing w:after="100"/>
      </w:pPr>
    </w:p>
    <w:p>
      <w:pPr>
        <w:pStyle w:val="Heading3"/>
        <w:shd w:fill="E6EFEE" w:val="clear"/>
        <w:spacing w:after="80" w:before="240"/>
      </w:pPr>
      <w:r>
        <w:rPr>
          <w:b/>
          <w:bCs/>
          <w:color w:val="1F5C57"/>
          <w:sz w:val="21"/>
          <w:szCs w:val="21"/>
        </w:rPr>
        <w:t xml:space="preserve">Chunk 1.3 — MSME/Udyam provider adapter (Deepvue) + mock</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Same ProviderAdapter pattern as 1.2, for Udyam/MSME status via Deepvue's free-trial API, plus a mock adapter.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/lib/providers/msme/types.ts, /lib/providers/msme/deepvueAdapter.ts, /lib/providers/msme/mockAdapter.ts, /lib/providers/msme/index.ts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None (writes to verification_checks in 1.4).</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Deepvue free-trial account. Falls back to mock adapter if no trial credentials are configured yet.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Calling the adapter for a valid Udyam number returns REGISTERED with the registration date; for a malformed number returns a validation error before any API call is made (no wasted calls on invalid input).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Unit tests: valid / lapsed / malformed Udyam number, provider timeout, both adapters return the same shape.</w:t>
            </w:r>
          </w:p>
        </w:tc>
      </w:tr>
    </w:tbl>
    <w:p>
      <w:pPr>
        <w:spacing w:after="100"/>
      </w:pPr>
    </w:p>
    <w:p>
      <w:pPr>
        <w:pStyle w:val="Heading3"/>
        <w:shd w:fill="E6EFEE" w:val="clear"/>
        <w:spacing w:after="80" w:before="240"/>
      </w:pPr>
      <w:r>
        <w:rPr>
          <w:b/>
          <w:bCs/>
          <w:color w:val="1F5C57"/>
          <w:sz w:val="21"/>
          <w:szCs w:val="21"/>
        </w:rPr>
        <w:t xml:space="preserve">Chunk 1.4 — Cron polling + change detection</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Vercel Cron job that batches all vendors with a gstin (and separately, all with a udyam_number) per organization, calls the relevant adapter, writes a verification_checks row, and sets is_change against the vendor's last check of that type.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/app/api/cron/poll-gst/route.ts, /app/api/cron/poll-msme/route.ts, /lib/verification/changeDetector.ts, vercel.json (cron schedule)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verification_checks (ERD §3.2); POST /api/cron/poll-gst, POST /api/cron/poll-msme (service-role auth only, ERD §6.1)</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Chunks 1.1 (vendors to poll), 1.2, 1.3 (adapters).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Running the cron job against a seeded vendor list writes one verification_checks row per vendor per check type; changing a fixture's status between two runs sets is_change = true on the second row and current_gst_status / current_msme_status on vendors updates accordingly.</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seed 10 vendors, run the poller twice with a fixture change on vendor 3 between runs, assert exactly one is_change = true row and that it's vendor 3's. Failure case: adapter throws mid-batch — assert the other 9 vendors still get their rows written (one failure doesn't abort the batch), and vendor 3 lands at status_value = unknown, not silently skipped.</w:t>
            </w:r>
          </w:p>
        </w:tc>
      </w:tr>
    </w:tbl>
    <w:p>
      <w:pPr>
        <w:spacing w:after="100"/>
      </w:pPr>
    </w:p>
    <w:p>
      <w:pPr>
        <w:pStyle w:val="Heading3"/>
        <w:shd w:fill="E6EFEE" w:val="clear"/>
        <w:spacing w:after="80" w:before="240"/>
      </w:pPr>
      <w:r>
        <w:rPr>
          <w:b/>
          <w:bCs/>
          <w:color w:val="1F5C57"/>
          <w:sz w:val="21"/>
          <w:szCs w:val="21"/>
        </w:rPr>
        <w:t xml:space="preserve">Chunk 1.5 — Vendor status dashboard UI</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Vendor list view (name, current GST/MSME/bank status, quick filter) and vendor detail view (status + verification_checks history) — the PRD §4.4 recall flow.</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/app/vendors/page.tsx, /app/vendors/[id]/page.tsx, /app/api/vendors/route.ts, /app/api/vendors/[id]/route.ts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GET /api/vendors, GET /api/vendors/:id (ERD §4)</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Chunks 1.1–1.4 (data to display).</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After an import and one poller run, the list view shows each vendor's current status at a glance, and the detail view shows the full check history in order; a vendor with a GST status change is visibly distinguishable from one with none.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Playwright: import → run poller (via test hook) → open vendor list → assert status badges match seeded fixture data → open one vendor's detail → assert history entries appear in chronological order. Edge case: a vendor with zero checks yet (poller hasn't run) shows 'pending' state, not a blank or error.</w:t>
            </w:r>
          </w:p>
        </w:tc>
      </w:tr>
    </w:tbl>
    <w:p>
      <w:pPr>
        <w:spacing w:after="100"/>
      </w:pPr>
    </w:p>
    <w:p>
      <w:pPr>
        <w:pStyle w:val="Heading1"/>
        <w:pBdr>
          <w:bottom w:val="single" w:color="C1541C" w:sz="8" w:space="4"/>
        </w:pBdr>
        <w:spacing w:after="160" w:before="360"/>
      </w:pPr>
      <w:r>
        <w:rPr>
          <w:b/>
          <w:bCs/>
          <w:color w:val="C1541C"/>
          <w:sz w:val="30"/>
          <w:szCs w:val="30"/>
        </w:rPr>
        <w:t xml:space="preserve">Phase 2 — Onboarding-only verification</w:t>
      </w:r>
    </w:p>
    <w:p>
      <w:pPr>
        <w:spacing w:after="160" w:line="300"/>
      </w:pPr>
      <w:r>
        <w:rPr>
          <w:b w:val="false"/>
          <w:bCs w:val="false"/>
          <w:i w:val="false"/>
          <w:iCs w:val="false"/>
          <w:color w:val="1F1F1F"/>
          <w:sz w:val="20"/>
          <w:szCs w:val="20"/>
        </w:rPr>
        <w:t xml:space="preserve">PRD §12: same connector, adds the two onboarding-only checks. Runs after Phase 1 is stable since both chunks here read the vendors table Phase 1 built.</w:t>
      </w:r>
    </w:p>
    <w:p>
      <w:pPr>
        <w:pStyle w:val="Heading3"/>
        <w:shd w:fill="E6EFEE" w:val="clear"/>
        <w:spacing w:after="80" w:before="240"/>
      </w:pPr>
      <w:r>
        <w:rPr>
          <w:b/>
          <w:bCs/>
          <w:color w:val="1F5C57"/>
          <w:sz w:val="21"/>
          <w:szCs w:val="21"/>
        </w:rPr>
        <w:t xml:space="preserve">Chunk 2.1 — Bank account verification (Eko)</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One-time, per-vendor bank account verification triggered right after import (or on manual re-flag); calls Eko's sandbox/live API, stores a masked result, never persists the full account number.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/lib/providers/bank/ekoAdapter.ts, /lib/providers/bank/mockAdapter.ts, /app/api/vendors/[id]/flag/route.ts (partial — triggers re-verification)</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bank_verifications (ERD §3.2); internal call from the import flow, plus POST /api/vendors/:id/flag</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1.1 (vendors exist to verify); Eko sandbox credentials (no contract needed to start, ERD §8).</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Each imported vendor gets exactly one bank_verifications row after import completes; an exact name match sets status = verified, a partial match sets manual_review, and no full account number is ever readable from the database, only the masked value.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asserting the raw account number passed to the adapter is never written to any table — grep the DB row for the literal test account number and assert it's absent. Playwright: vendor with a mismatched name shows manual_review in the UI, not a false verified.</w:t>
            </w:r>
          </w:p>
        </w:tc>
      </w:tr>
    </w:tbl>
    <w:p>
      <w:pPr>
        <w:spacing w:after="100"/>
      </w:pPr>
    </w:p>
    <w:p>
      <w:pPr>
        <w:pStyle w:val="Heading3"/>
        <w:shd w:fill="E6EFEE" w:val="clear"/>
        <w:spacing w:after="80" w:before="240"/>
      </w:pPr>
      <w:r>
        <w:rPr>
          <w:b/>
          <w:bCs/>
          <w:color w:val="1F5C57"/>
          <w:sz w:val="21"/>
          <w:szCs w:val="21"/>
        </w:rPr>
        <w:t xml:space="preserve">Chunk 2.2 — Certificate upload</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Upload UI for insurance/safety certificates at onboarding; stores the file in Supabase Storage; logs certificate_type and expiry_date; flags immediately if the expiry date is already in the past.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/app/vendors/[id]/certificates/page.tsx, /app/api/vendors/[id]/certificates/route.ts, /lib/storage/uploadCertificate.ts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certificates (ERD §3.2); Supabase Storage bucket certificates (private, signed URLs only); POST /api/vendors/:id/certificates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1.1 (vendor must exist first).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Uploading a certificate with a future expiry date shows status = valid; uploading one with a past expiry date shows status = expired immediately, without waiting for any scheduled check (there is none for certificates in v1, ERD §7).</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Playwright: upload valid-dated file → status valid. Upload already-expired file → status expired immediately. Edge case: upload a non-PDF/image file type → rejected with a clear error before any Storage write.</w:t>
            </w:r>
          </w:p>
        </w:tc>
      </w:tr>
    </w:tbl>
    <w:p>
      <w:pPr>
        <w:spacing w:after="100"/>
      </w:pPr>
    </w:p>
    <w:p>
      <w:pPr>
        <w:pStyle w:val="Heading1"/>
        <w:pBdr>
          <w:bottom w:val="single" w:color="C1541C" w:sz="8" w:space="4"/>
        </w:pBdr>
        <w:spacing w:after="160" w:before="360"/>
      </w:pPr>
      <w:r>
        <w:rPr>
          <w:b/>
          <w:bCs/>
          <w:color w:val="C1541C"/>
          <w:sz w:val="30"/>
          <w:szCs w:val="30"/>
        </w:rPr>
        <w:t xml:space="preserve">Phase 3 — Alerting (runs in parallel with Phase 2)</w:t>
      </w:r>
    </w:p>
    <w:p>
      <w:pPr>
        <w:spacing w:after="160" w:line="300"/>
      </w:pPr>
      <w:r>
        <w:rPr>
          <w:b w:val="false"/>
          <w:bCs w:val="false"/>
          <w:i w:val="false"/>
          <w:iCs w:val="false"/>
          <w:color w:val="1F1F1F"/>
          <w:sz w:val="20"/>
          <w:szCs w:val="20"/>
        </w:rPr>
        <w:t xml:space="preserve">PRD §12: turns a detected change into something the finance head can act on. Depends on Phase 1's change detection and Phase 2's payments data existing, but not on Phase 2's specific chunks finishing first — hence 'parallel' in the PRD.</w:t>
      </w:r>
    </w:p>
    <w:p>
      <w:pPr>
        <w:pStyle w:val="Heading3"/>
        <w:shd w:fill="E6EFEE" w:val="clear"/>
        <w:spacing w:after="80" w:before="240"/>
      </w:pPr>
      <w:r>
        <w:rPr>
          <w:b/>
          <w:bCs/>
          <w:color w:val="1F5C57"/>
          <w:sz w:val="21"/>
          <w:szCs w:val="21"/>
        </w:rPr>
        <w:t xml:space="preserve">Chunk 3.1 — Impact scorer</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Logic that decides whether a detected change (is_change = true) becomes an alert: only if the vendor has an open payments row, or a lei_checks row resolves unfavorably (added in Phase 4, stubbed here).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/lib/alerts/impactScorer.ts, minimal payments seed/table for testing against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payments (ERD §3.2, brought forward from Phase 4 since scoring needs it); no new API route — internal logic called by the poller pipeline.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1.4 (change detection feeding this).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GST status change on a vendor with an open pending payment produces a scored, alert-worthy result; the identical change on a vendor with zero pending payments does not — but the check itself is still written to verification_checks (ERD §5.2).</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Unit tests: vendor with pending payment + status change → alert-worthy = true. Vendor with no payments + status change → alert-worthy = false, but verification_checks row still exists (query it directly to confirm nothing was dropped).</w:t>
            </w:r>
          </w:p>
        </w:tc>
      </w:tr>
    </w:tbl>
    <w:p>
      <w:pPr>
        <w:spacing w:after="100"/>
      </w:pPr>
    </w:p>
    <w:p>
      <w:pPr>
        <w:pStyle w:val="Heading3"/>
        <w:shd w:fill="E6EFEE" w:val="clear"/>
        <w:spacing w:after="80" w:before="240"/>
      </w:pPr>
      <w:r>
        <w:rPr>
          <w:b/>
          <w:bCs/>
          <w:color w:val="1F5C57"/>
          <w:sz w:val="21"/>
          <w:szCs w:val="21"/>
        </w:rPr>
        <w:t xml:space="preserve">Chunk 3.2 — Alert generation + dedupe</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Turns impact-scorer output into alerts rows; dedupes against any existing open alert for the same vendor + trigger_type by updating payment_impact_amount instead of creating a duplicate (ERD §5.3).</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/lib/alerts/createOrUpdateAlert.ts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alerts (ERD §3.2); no public API route yet (added in 3.3).</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3.1.</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Two consecutive status changes on the same vendor within one open-alert window produce one alerts row with an updated amount, not two rows.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fire the same trigger twice for one vendor before resolving the first alert → assert exactly one row, with the second call's amount reflected. Resolve it, fire again → assert a second, new row is created.</w:t>
            </w:r>
          </w:p>
        </w:tc>
      </w:tr>
    </w:tbl>
    <w:p>
      <w:pPr>
        <w:spacing w:after="100"/>
      </w:pPr>
    </w:p>
    <w:p>
      <w:pPr>
        <w:pStyle w:val="Heading3"/>
        <w:shd w:fill="E6EFEE" w:val="clear"/>
        <w:spacing w:after="80" w:before="240"/>
      </w:pPr>
      <w:r>
        <w:rPr>
          <w:b/>
          <w:bCs/>
          <w:color w:val="1F5C57"/>
          <w:sz w:val="21"/>
          <w:szCs w:val="21"/>
        </w:rPr>
        <w:t xml:space="preserve">Chunk 3.3 — Alert UI + one-tap actions + email</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Alert inbox UI (PRD §4.5's nudge: 'Vendor X's GST registration just went inactive. Two pending payments total ₹4.1L. Hold them?'); one-tap hold / reviewed / escalate actions; Resend email notification on alert creation.</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/app/alerts/page.tsx, /app/api/alerts/route.ts, /app/api/alerts/[id]/action/route.ts, /lib/email/sendAlertEmail.ts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GET /api/alerts, POST /api/alerts/:id/action (ERD §4.1)</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Chunks 3.1, 3.2.</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new alert triggers an email within the same polling cycle (PRD §11's 'alert fires within one polling cycle'); clicking 'hold' updates status and resolved_by/resolved_at, and an already-resolved alert returns 409 on a second action attempt rather than silently double-processing.</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Playwright: seed an alert → see it in the inbox → click hold → status updates in the UI. Integration test: POST the same action twice → second call gets 409, first call's resolution is untouched. Email test: assert Resend's API is called with the correct vendor/amount payload (mocked in CI).</w:t>
            </w:r>
          </w:p>
        </w:tc>
      </w:tr>
    </w:tbl>
    <w:p>
      <w:pPr>
        <w:spacing w:after="100"/>
      </w:pPr>
    </w:p>
    <w:p>
      <w:pPr>
        <w:pStyle w:val="Heading1"/>
        <w:pBdr>
          <w:bottom w:val="single" w:color="C1541C" w:sz="8" w:space="4"/>
        </w:pBdr>
        <w:spacing w:after="160" w:before="360"/>
      </w:pPr>
      <w:r>
        <w:rPr>
          <w:b/>
          <w:bCs/>
          <w:color w:val="C1541C"/>
          <w:sz w:val="30"/>
          <w:szCs w:val="30"/>
        </w:rPr>
        <w:t xml:space="preserve">Phase 4 — Evidence log + LEI</w:t>
      </w:r>
    </w:p>
    <w:p>
      <w:pPr>
        <w:spacing w:after="160" w:line="300"/>
      </w:pPr>
      <w:r>
        <w:rPr>
          <w:b w:val="false"/>
          <w:bCs w:val="false"/>
          <w:i w:val="false"/>
          <w:iCs w:val="false"/>
          <w:color w:val="1F1F1F"/>
          <w:sz w:val="20"/>
          <w:szCs w:val="20"/>
        </w:rPr>
        <w:t xml:space="preserve">PRD §12: lower urgency, only matters at audit time or above ₹50 crore — correctly built after the daily-use flows in Phases 1–3 are working.</w:t>
      </w:r>
    </w:p>
    <w:p>
      <w:pPr>
        <w:pStyle w:val="Heading3"/>
        <w:shd w:fill="E6EFEE" w:val="clear"/>
        <w:spacing w:after="80" w:before="240"/>
      </w:pPr>
      <w:r>
        <w:rPr>
          <w:b/>
          <w:bCs/>
          <w:color w:val="1F5C57"/>
          <w:sz w:val="21"/>
          <w:szCs w:val="21"/>
        </w:rPr>
        <w:t xml:space="preserve">Chunk 4.1 — Evidence log wiring</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Append-only evidence_log table; write calls added at every point established in Phases 1–3 — poller runs, change detection, alert creation, alert resolution — so nothing built earlier is missing from the audit trail retroactively.</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/lib/evidence/logEvent.ts, retrofits into: poll-gst/route.ts, poll-msme/route.ts, changeDetector.ts, createOrUpdateAlert.ts, alerts/[id]/action/route.ts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evidence_log (ERD §3.2); DB role permissions revoke UPDATE/DELETE on this table entirely, including for the app's own service role, so a bug elsewhere in the code physically cannot alter history.</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Chunks 1.4, 3.2, 3.3 (the events being logged already exist).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After a full cycle (import → poll → change → alert → resolve), evidence_log has one row per distinct event, each reconstructable back to its source row; a direct SQL UPDATE attempt against evidence_log as the app's own role fails with a permissions error, verified, not assumed.</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running the full cycle and asserting event_type counts match expected (1 per check, 1 per change, 1 per alert action). Explicit permissions test: attempt UPDATE evidence_log as the app role and assert it errors.</w:t>
            </w:r>
          </w:p>
        </w:tc>
      </w:tr>
    </w:tbl>
    <w:p>
      <w:pPr>
        <w:spacing w:after="100"/>
      </w:pPr>
    </w:p>
    <w:p>
      <w:pPr>
        <w:pStyle w:val="Heading3"/>
        <w:shd w:fill="E6EFEE" w:val="clear"/>
        <w:spacing w:after="80" w:before="240"/>
      </w:pPr>
      <w:r>
        <w:rPr>
          <w:b/>
          <w:bCs/>
          <w:color w:val="1F5C57"/>
          <w:sz w:val="21"/>
          <w:szCs w:val="21"/>
        </w:rPr>
        <w:t xml:space="preserve">Chunk 4.2 — Clause 22 / Form 3CD export</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Export endpoint and UI aggregating, per vendor, MSME status and payment dates within a date range from evidence_log (not live vendor state, ERD §5.4); CSV and PDF output.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/app/evidence/export/page.tsx, /app/api/evidence/export/route.ts, /lib/evidence/buildExport.ts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GET /api/evidence/export (ERD §4)</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Chunk 4.1 (evidence to export).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Exporting for a past date range reflects what was true on those dates per the log, even if a vendor's status has since changed again — a 'time travel' test: change a vendor's status today, export for last month, assert last month's value appears, not today's.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exactly as described in acceptance criteria. Playwright: generate an export for a seeded date range → assert the downloaded file contains the expected vendor rows and dates.</w:t>
            </w:r>
          </w:p>
        </w:tc>
      </w:tr>
    </w:tbl>
    <w:p>
      <w:pPr>
        <w:spacing w:after="100"/>
      </w:pPr>
    </w:p>
    <w:p>
      <w:pPr>
        <w:pStyle w:val="Heading3"/>
        <w:shd w:fill="E6EFEE" w:val="clear"/>
        <w:spacing w:after="80" w:before="240"/>
      </w:pPr>
      <w:r>
        <w:rPr>
          <w:b/>
          <w:bCs/>
          <w:color w:val="1F5C57"/>
          <w:sz w:val="21"/>
          <w:szCs w:val="21"/>
        </w:rPr>
        <w:t xml:space="preserve">Chunk 4.3 — LEI pre-payment check (GLEIF)</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On payment creation/update, if amount ≥ ₹50cr and payment_method is rtgs or neft, calls GLEIF (free, no registration) for the vendor's LEI status; creates an alert immediately if lapsed, retired, or not_on_record (ERD §5.5) — does not attempt to block the payment itself.</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/lib/providers/lei/gleifAdapter.ts, /app/api/payments/[id]/lei-check/route.ts, hooks into payments creation flow</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lei_checks (ERD §3.2); POST /api/payments/:id/lei-check</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Payments must exist (payments table already created in Chunk 3.1); GLEIF is free with no signup, so no account provisioning blocks this chunk.</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₹60cr RTGS payment to a vendor with a lapsed LEI creates an lei_checks row and an alert before the payment's due_date; a ₹10cr payment to the same vendor triggers no LEI check at all (below threshold); a vendor with no LEI on file gets not_on_record, distinguishable in the UI from lapsed.</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Unit tests across the threshold boundary (₹49.99cr vs ₹50cr vs ₹50.01cr) and payment_method values. Playwright: create a qualifying payment against a lapsed-LEI fixture vendor → see the resulting alert with the correct trigger_type.</w:t>
            </w:r>
          </w:p>
        </w:tc>
      </w:tr>
    </w:tbl>
    <w:p>
      <w:pPr>
        <w:spacing w:after="100"/>
      </w:pPr>
    </w:p>
    <w:p>
      <w:pPr>
        <w:pStyle w:val="Heading1"/>
        <w:pBdr>
          <w:bottom w:val="single" w:color="C1541C" w:sz="8" w:space="4"/>
        </w:pBdr>
        <w:spacing w:after="160" w:before="360"/>
      </w:pPr>
      <w:r>
        <w:rPr>
          <w:b/>
          <w:bCs/>
          <w:color w:val="C1541C"/>
          <w:sz w:val="30"/>
          <w:szCs w:val="30"/>
        </w:rPr>
        <w:t xml:space="preserve">Phase 5 — Pilot rollout + metrics</w:t>
      </w:r>
    </w:p>
    <w:p>
      <w:pPr>
        <w:spacing w:after="160" w:line="300"/>
      </w:pPr>
      <w:r>
        <w:rPr>
          <w:b w:val="false"/>
          <w:bCs w:val="false"/>
          <w:i w:val="false"/>
          <w:iCs w:val="false"/>
          <w:color w:val="1F1F1F"/>
          <w:sz w:val="20"/>
          <w:szCs w:val="20"/>
        </w:rPr>
        <w:t xml:space="preserve">PRD §12: real customers, tracking Section 11's metrics against their kill signals. This phase also carries the explicit end-to-end verification pass called for in the brief.</w:t>
      </w:r>
    </w:p>
    <w:p>
      <w:pPr>
        <w:pStyle w:val="Heading3"/>
        <w:shd w:fill="E6EFEE" w:val="clear"/>
        <w:spacing w:after="80" w:before="240"/>
      </w:pPr>
      <w:r>
        <w:rPr>
          <w:b/>
          <w:bCs/>
          <w:color w:val="1F5C57"/>
          <w:sz w:val="21"/>
          <w:szCs w:val="21"/>
        </w:rPr>
        <w:t xml:space="preserve">Chunk 5.1 — Metrics instrumentation</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Event tracking for every Section 11 metric: vendor-connected-without-IT, time-to-first-value, status-changes-detected, alerts-actioned-within-24h, alert-precision, payments-held, bank/cert-issues-caught, audit-time-saved (self-reported), pilot-to-paid intent, PMF survey trigger.</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/lib/analytics/track.ts, instrumentation calls added across import, poller, alert-action, export flows; a lightweight events table or a third-party analytics sink</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CREATE TABLE product_events (if self-hosted) or integration with an analytics provider; no new user-facing API.</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All of Phases 1–4 (every metric is derived from flows they built).</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After a scripted end-to-end run (import → poll → alert → resolve → export), every Section 11 metric has at least one corresponding event recorded and is queryable against its stated 30-day target/kill-signal shape.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Integration test asserting each of the 10 Section 11 metrics has a corresponding trackable event after the scripted run — this is a checklist test, one assertion per metric, so a missing one fails loudly instead of being noticed a month into the pilot.</w:t>
            </w:r>
          </w:p>
        </w:tc>
      </w:tr>
    </w:tbl>
    <w:p>
      <w:pPr>
        <w:spacing w:after="100"/>
      </w:pPr>
    </w:p>
    <w:p>
      <w:pPr>
        <w:pStyle w:val="Heading3"/>
        <w:shd w:fill="E6EFEE" w:val="clear"/>
        <w:spacing w:after="80" w:before="240"/>
      </w:pPr>
      <w:r>
        <w:rPr>
          <w:b/>
          <w:bCs/>
          <w:color w:val="1F5C57"/>
          <w:sz w:val="21"/>
          <w:szCs w:val="21"/>
        </w:rPr>
        <w:t xml:space="preserve">Chunk 5.2 — Pilot onboarding hardening</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Rate limiting on GSP/provider calls (ERD §7's cost-control edge case), error monitoring/alerting for the app itself (not to be confused with product alerts), and a manual QA pass against a real (anonymized) or realistic vendor list at pilot scale (~220 vendors).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/lib/rateLimiter.ts, error monitoring config (e.g. Vercel's built-in logging or Sentry), pilot runbook doc</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Possibly a provider_call_log table if not already covered by verification_checks/lei_checks — otherwise no new schema.</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All prior phases functionally complete.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simulated 220-vendor daily poll stays within the per-organization API call cap defined in ERD §7 and completes within the cron job's time budget; an intentionally-broken provider credential produces a visible ops alert, not a silent daily failure.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Load test: seed 220 vendors, run the full poller, assert call count and duration are within budget. Failure-injection test: revoke a provider API key mid-test, assert the ops error surfaces rather than vendors silently reverting to unknown with no one told.</w:t>
            </w:r>
          </w:p>
        </w:tc>
      </w:tr>
    </w:tbl>
    <w:p>
      <w:pPr>
        <w:spacing w:after="100"/>
      </w:pPr>
    </w:p>
    <w:p>
      <w:pPr>
        <w:pStyle w:val="Heading3"/>
        <w:shd w:fill="E6EFEE" w:val="clear"/>
        <w:spacing w:after="80" w:before="240"/>
      </w:pPr>
      <w:r>
        <w:rPr>
          <w:b/>
          <w:bCs/>
          <w:color w:val="1F5C57"/>
          <w:sz w:val="21"/>
          <w:szCs w:val="21"/>
        </w:rPr>
        <w:t xml:space="preserve">Chunk 5.3 — End-to-end flow verification pass</w:t>
      </w:r>
    </w:p>
    <w:tbl>
      <w:tblPr>
        <w:tblW w:type="dxa" w:w="9345"/>
        <w:tblBorders>
          <w:top w:val="single" w:color="1F5C57" w:sz="4"/>
          <w:left w:val="single" w:color="1F5C57" w:sz="4"/>
          <w:bottom w:val="single" w:color="1F5C57" w:sz="4"/>
          <w:right w:val="single" w:color="1F5C57" w:sz="4"/>
          <w:insideH w:val="single" w:color="1F5C57" w:sz="4"/>
          <w:insideV w:val="single" w:color="1F5C57" w:sz="4"/>
        </w:tblBorders>
      </w:tblPr>
      <w:tblGrid>
        <w:gridCol w:w="2400"/>
        <w:gridCol w:w="6945"/>
      </w:tblGrid>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What needs to be built</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 deliberate pass through every user story from PRD §8, executed as scripted Playwright flows against a seeded pilot-scale dataset, explicitly including each flow's failure and edge-case branches, not just its happy path.</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Files / modules involved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/e2e/flows/*.spec.ts — one file per PRD §8 user story</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DB &amp; API changes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No schema changes; this chunk is pure verification of everything built in Phases 0–5.</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Dependencies</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All prior chunks.</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Acceptance criteria</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Every PRD §8 story has a passing e2e test for its happy path AND at least one failure/edge case: (1) connect vendor list — also test a malformed file; (2) same-day GST alert — also test the no-open-payment case producing no alert; (3) vendor status recall — also test a vendor with zero checks yet; (4) LEI alert before large payment — also test the below-threshold non-trigger and the not_on_record case; (5) Clause 22 export — also test the past-date 'time travel' case; (6) alert decision logged — also test the double-action 409 case.</w:t>
            </w:r>
          </w:p>
        </w:tc>
      </w:tr>
      <w:tr>
        <w:tc>
          <w:tcPr>
            <w:tcW w:type="dxa" w:w="2400"/>
            <w:shd w:fill="E6EFEE" w:val="clear"/>
            <w:tcMar>
              <w:top w:type="dxa" w:w="90"/>
              <w:left w:type="dxa" w:w="120"/>
              <w:bottom w:type="dxa" w:w="90"/>
              <w:right w:type="dxa" w:w="120"/>
            </w:tcMar>
          </w:tcPr>
          <w:p>
            <w:pPr>
              <w:spacing w:line="250"/>
            </w:pPr>
            <w:r>
              <w:rPr>
                <w:b/>
                <w:bCs/>
                <w:color w:val="1F1F1F"/>
                <w:sz w:val="18"/>
                <w:szCs w:val="18"/>
              </w:rPr>
              <w:t xml:space="preserve">How it's tested</w:t>
            </w:r>
          </w:p>
        </w:tc>
        <w:tc>
          <w:tcPr>
            <w:tcW w:type="dxa" w:w="6945"/>
            <w:tcMar>
              <w:top w:type="dxa" w:w="90"/>
              <w:left w:type="dxa" w:w="120"/>
              <w:bottom w:type="dxa" w:w="90"/>
              <w:right w:type="dxa" w:w="120"/>
            </w:tcMar>
          </w:tcPr>
          <w:p>
            <w:pPr>
              <w:spacing w:line="250"/>
            </w:pPr>
            <w:r>
              <w:rPr>
                <w:b w:val="false"/>
                <w:bCs w:val="false"/>
                <w:color w:val="1F1F1F"/>
                <w:sz w:val="18"/>
                <w:szCs w:val="18"/>
              </w:rPr>
              <w:t xml:space="preserve">This chunk is itself the test suite. CI runs it on every PR against main; a failing flow blocks deploy. This directly satisfies the brief's closing instruction: verify every important user flow end-to-end, including failures and edge cases, as the actual signal that the system works, not just that the UI renders.</w:t>
            </w:r>
          </w:p>
        </w:tc>
      </w:tr>
    </w:tbl>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2026-08-09T20:51:51.440Z</dcterms:created>
  <dcterms:modified xsi:type="dcterms:W3CDTF">2026-08-09T20:51:51.440Z</dcterms:modified>
</cp:coreProperties>
</file>

<file path=docProps/custom.xml><?xml version="1.0" encoding="utf-8"?>
<Properties xmlns="http://schemas.openxmlformats.org/officeDocument/2006/custom-properties" xmlns:vt="http://schemas.openxmlformats.org/officeDocument/2006/docPropsVTypes"/>
</file>